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4"/>
        <w:ind w:firstLine="0"/>
        <w:jc w:val="center"/>
        <w:rPr>
          <w:rFonts w:hint="default" w:ascii="宋体" w:hAnsi="宋体" w:eastAsia="宋体" w:cs="宋体"/>
          <w:color w:val="000000"/>
          <w:sz w:val="72"/>
          <w:szCs w:val="22"/>
          <w:lang w:val="en-US"/>
        </w:rPr>
      </w:pPr>
      <w:r>
        <w:rPr>
          <w:rFonts w:hint="default" w:ascii="宋体" w:hAnsi="宋体" w:eastAsia="宋体" w:cs="宋体"/>
          <w:color w:val="000000"/>
          <w:sz w:val="72"/>
          <w:szCs w:val="22"/>
          <w:lang w:val="en-US"/>
        </w:rPr>
      </w:r>
      <w:r/>
    </w:p>
    <w:p>
      <w:pPr>
        <w:pStyle w:val="943"/>
        <w:ind w:left="0" w:right="0" w:firstLine="40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新宋体" w:hAnsi="新宋体" w:eastAsia="新宋体" w:cs="新宋体"/>
          <w:color w:val="000000"/>
          <w:sz w:val="72"/>
          <w:szCs w:val="72"/>
        </w:rPr>
        <w:t xml:space="preserve">泰 州 市 政 府 采 购</w:t>
      </w:r>
      <w:r/>
    </w:p>
    <w:p>
      <w:pPr>
        <w:pStyle w:val="943"/>
        <w:ind w:left="0" w:firstLine="47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3"/>
        <w:ind w:left="0" w:firstLine="29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新宋体" w:hAnsi="新宋体" w:eastAsia="新宋体" w:cs="新宋体"/>
          <w:color w:val="000000"/>
          <w:sz w:val="52"/>
          <w:szCs w:val="52"/>
        </w:rPr>
        <w:t xml:space="preserve">竞争性磋商文件</w:t>
      </w:r>
      <w:r/>
    </w:p>
    <w:p>
      <w:pPr>
        <w:pStyle w:val="943"/>
        <w:ind w:right="2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6"/>
          <w:szCs w:val="36"/>
        </w:rPr>
        <w:t xml:space="preserve">（全流程电子化不见面开标）</w:t>
      </w:r>
      <w:r/>
    </w:p>
    <w:p>
      <w:pPr>
        <w:pStyle w:val="1184"/>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4"/>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4"/>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4"/>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4"/>
        <w:ind w:firstLine="627"/>
        <w:jc w:val="both"/>
        <w:spacing w:line="52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184"/>
        <w:ind w:firstLine="1185"/>
        <w:jc w:val="both"/>
        <w:spacing w:line="52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1184"/>
        <w:ind w:firstLine="983"/>
        <w:jc w:val="both"/>
        <w:spacing w:line="520" w:lineRule="exact"/>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30"/>
          <w:szCs w:val="30"/>
        </w:rPr>
      </w:r>
      <w:r/>
    </w:p>
    <w:p>
      <w:pPr>
        <w:pStyle w:val="1184"/>
        <w:ind w:firstLine="983"/>
        <w:jc w:val="both"/>
        <w:spacing w:line="520" w:lineRule="exact"/>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30"/>
          <w:szCs w:val="30"/>
        </w:rPr>
        <w:t xml:space="preserve">项目名称：</w:t>
      </w:r>
      <w:r>
        <w:rPr>
          <w:rFonts w:hint="eastAsia" w:ascii="宋体" w:hAnsi="宋体" w:eastAsia="宋体" w:cs="宋体"/>
          <w:b w:val="0"/>
          <w:bCs w:val="0"/>
          <w:color w:val="000000"/>
          <w:sz w:val="30"/>
          <w:szCs w:val="30"/>
          <w:lang w:eastAsia="zh-CN"/>
        </w:rPr>
        <w:t xml:space="preserve">九龙镇振东疏导点建设工程</w:t>
      </w:r>
      <w:r/>
    </w:p>
    <w:p>
      <w:pPr>
        <w:pStyle w:val="1184"/>
        <w:ind w:firstLine="983"/>
        <w:jc w:val="both"/>
        <w:spacing w:line="520" w:lineRule="exact"/>
        <w:rPr>
          <w:rFonts w:hint="eastAsia" w:ascii="宋体" w:hAnsi="宋体" w:eastAsia="宋体" w:cs="宋体"/>
          <w:b w:val="0"/>
          <w:bCs w:val="0"/>
          <w:color w:val="000000"/>
          <w:sz w:val="30"/>
          <w:szCs w:val="30"/>
          <w:lang w:eastAsia="zh-CN"/>
        </w:rPr>
      </w:pPr>
      <w:r>
        <w:rPr>
          <w:rFonts w:hint="eastAsia" w:ascii="宋体" w:hAnsi="宋体" w:eastAsia="宋体" w:cs="宋体"/>
          <w:b w:val="0"/>
          <w:bCs w:val="0"/>
          <w:color w:val="000000"/>
          <w:sz w:val="30"/>
          <w:szCs w:val="30"/>
        </w:rPr>
        <w:t xml:space="preserve">项目编</w:t>
      </w:r>
      <w:r>
        <w:rPr>
          <w:rFonts w:hint="eastAsia" w:ascii="宋体" w:hAnsi="宋体" w:eastAsia="宋体" w:cs="宋体"/>
          <w:b w:val="0"/>
          <w:bCs w:val="0"/>
          <w:color w:val="000000"/>
          <w:sz w:val="30"/>
          <w:szCs w:val="30"/>
          <w:lang w:eastAsia="zh-CN"/>
        </w:rPr>
        <w:t xml:space="preserve">号：JSZC-321202-NJGJ-C2025-0053</w:t>
      </w:r>
      <w:r/>
    </w:p>
    <w:p>
      <w:pPr>
        <w:pStyle w:val="1184"/>
        <w:ind w:firstLine="983"/>
        <w:jc w:val="both"/>
        <w:spacing w:line="520" w:lineRule="exact"/>
        <w:rPr>
          <w:rFonts w:hint="eastAsia" w:ascii="宋体" w:hAnsi="宋体" w:eastAsia="宋体" w:cs="宋体"/>
          <w:b w:val="0"/>
          <w:bCs w:val="0"/>
          <w:color w:val="000000"/>
          <w:sz w:val="30"/>
          <w:szCs w:val="30"/>
          <w:lang w:eastAsia="zh-CN"/>
        </w:rPr>
      </w:pPr>
      <w:r>
        <w:rPr>
          <w:rFonts w:hint="eastAsia" w:ascii="宋体" w:hAnsi="宋体" w:eastAsia="宋体" w:cs="宋体"/>
          <w:b w:val="0"/>
          <w:bCs w:val="0"/>
          <w:color w:val="000000"/>
          <w:sz w:val="30"/>
          <w:szCs w:val="30"/>
        </w:rPr>
        <w:t xml:space="preserve">采</w:t>
      </w:r>
      <w:r>
        <w:rPr>
          <w:rFonts w:hint="eastAsia" w:ascii="宋体" w:hAnsi="宋体" w:eastAsia="宋体" w:cs="宋体"/>
          <w:b w:val="0"/>
          <w:bCs w:val="0"/>
          <w:color w:val="000000"/>
          <w:sz w:val="30"/>
          <w:szCs w:val="30"/>
          <w:lang w:val="en-US" w:eastAsia="zh-CN"/>
        </w:rPr>
        <w:t xml:space="preserve"> </w:t>
      </w:r>
      <w:r>
        <w:rPr>
          <w:rFonts w:hint="eastAsia" w:ascii="宋体" w:hAnsi="宋体" w:eastAsia="宋体" w:cs="宋体"/>
          <w:b w:val="0"/>
          <w:bCs w:val="0"/>
          <w:color w:val="000000"/>
          <w:sz w:val="30"/>
          <w:szCs w:val="30"/>
        </w:rPr>
        <w:t xml:space="preserve">购</w:t>
      </w:r>
      <w:r>
        <w:rPr>
          <w:rFonts w:hint="eastAsia" w:ascii="宋体" w:hAnsi="宋体" w:eastAsia="宋体" w:cs="宋体"/>
          <w:b w:val="0"/>
          <w:bCs w:val="0"/>
          <w:color w:val="000000"/>
          <w:sz w:val="30"/>
          <w:szCs w:val="30"/>
          <w:lang w:val="en-US" w:eastAsia="zh-CN"/>
        </w:rPr>
        <w:t xml:space="preserve"> </w:t>
      </w:r>
      <w:r>
        <w:rPr>
          <w:rFonts w:hint="eastAsia" w:ascii="宋体" w:hAnsi="宋体" w:eastAsia="宋体" w:cs="宋体"/>
          <w:b w:val="0"/>
          <w:bCs w:val="0"/>
          <w:color w:val="000000"/>
          <w:sz w:val="30"/>
          <w:szCs w:val="30"/>
        </w:rPr>
        <w:t xml:space="preserve">人：</w:t>
      </w:r>
      <w:r>
        <w:rPr>
          <w:rFonts w:hint="eastAsia" w:ascii="宋体" w:hAnsi="宋体" w:eastAsia="宋体" w:cs="宋体"/>
          <w:b w:val="0"/>
          <w:bCs w:val="0"/>
          <w:color w:val="000000"/>
          <w:sz w:val="30"/>
          <w:szCs w:val="30"/>
          <w:lang w:eastAsia="zh-CN"/>
        </w:rPr>
        <w:t xml:space="preserve">泰州市九龙镇人民政府</w:t>
      </w:r>
      <w:r/>
    </w:p>
    <w:p>
      <w:pPr>
        <w:pStyle w:val="1184"/>
        <w:ind w:firstLine="983"/>
        <w:jc w:val="both"/>
        <w:spacing w:line="520" w:lineRule="exact"/>
        <w:rPr>
          <w:rFonts w:hint="eastAsia" w:ascii="宋体" w:hAnsi="宋体" w:eastAsia="宋体" w:cs="宋体"/>
          <w:b w:val="0"/>
          <w:bCs w:val="0"/>
          <w:color w:val="000000"/>
          <w:sz w:val="30"/>
          <w:szCs w:val="30"/>
          <w:lang w:eastAsia="zh-CN"/>
        </w:rPr>
      </w:pPr>
      <w:r>
        <w:rPr>
          <w:rFonts w:hint="eastAsia" w:ascii="宋体" w:hAnsi="宋体" w:eastAsia="宋体" w:cs="宋体"/>
          <w:b w:val="0"/>
          <w:bCs w:val="0"/>
          <w:color w:val="000000"/>
          <w:sz w:val="30"/>
          <w:szCs w:val="30"/>
        </w:rPr>
        <w:t xml:space="preserve">采购代理机构：</w:t>
      </w:r>
      <w:r>
        <w:rPr>
          <w:rFonts w:hint="eastAsia" w:ascii="宋体" w:hAnsi="宋体" w:eastAsia="宋体" w:cs="宋体"/>
          <w:b w:val="0"/>
          <w:bCs w:val="0"/>
          <w:color w:val="000000"/>
          <w:sz w:val="30"/>
          <w:szCs w:val="30"/>
          <w:lang w:eastAsia="zh-CN"/>
        </w:rPr>
        <w:t xml:space="preserve">南京国景工程项目管理有限公司</w:t>
      </w:r>
      <w:r/>
    </w:p>
    <w:p>
      <w:pPr>
        <w:pStyle w:val="947"/>
        <w:ind w:firstLine="600"/>
        <w:spacing w:line="52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spacing w:line="520" w:lineRule="exact"/>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t xml:space="preserve">二〇二五年</w:t>
      </w:r>
      <w:r>
        <w:rPr>
          <w:rFonts w:hint="eastAsia" w:ascii="宋体" w:hAnsi="宋体" w:cs="宋体"/>
          <w:b w:val="0"/>
          <w:bCs w:val="0"/>
          <w:color w:val="000000"/>
          <w:sz w:val="32"/>
          <w:szCs w:val="32"/>
          <w:lang w:val="en-US" w:eastAsia="zh-CN"/>
        </w:rPr>
        <w:t xml:space="preserve">十二</w:t>
      </w:r>
      <w:r>
        <w:rPr>
          <w:rFonts w:hint="eastAsia" w:ascii="宋体" w:hAnsi="宋体" w:eastAsia="宋体" w:cs="宋体"/>
          <w:b w:val="0"/>
          <w:bCs w:val="0"/>
          <w:color w:val="000000"/>
          <w:sz w:val="32"/>
          <w:szCs w:val="32"/>
        </w:rPr>
        <w:t xml:space="preserve">月</w:t>
      </w:r>
      <w:r/>
    </w:p>
    <w:p>
      <w:pPr>
        <w:pStyle w:val="945"/>
        <w:spacing w:line="520" w:lineRule="exact"/>
        <w:rPr>
          <w:rFonts w:hint="eastAsia" w:ascii="宋体" w:hAnsi="宋体" w:eastAsia="宋体" w:cs="宋体"/>
          <w:color w:val="000000"/>
          <w:sz w:val="28"/>
          <w:szCs w:val="28"/>
          <w:lang w:val="zh-CN"/>
        </w:rPr>
        <w:sectPr>
          <w:footerReference w:type="default" r:id="rId9"/>
          <w:footnotePr/>
          <w:endnotePr/>
          <w:type w:val="nextPage"/>
          <w:pgSz w:w="11906" w:h="16838" w:orient="portrait"/>
          <w:pgMar w:top="1134" w:right="851" w:bottom="567" w:left="1304" w:header="851" w:footer="992" w:gutter="0"/>
          <w:pgNumType w:start="1"/>
          <w:cols w:num="1" w:sep="0" w:space="1701" w:equalWidth="1"/>
          <w:docGrid w:linePitch="360"/>
        </w:sectPr>
      </w:pPr>
      <w:r>
        <w:rPr>
          <w:rFonts w:hint="eastAsia" w:ascii="宋体" w:hAnsi="宋体" w:eastAsia="宋体" w:cs="宋体"/>
          <w:color w:val="000000"/>
          <w:sz w:val="28"/>
          <w:szCs w:val="28"/>
          <w:lang w:val="zh-CN"/>
        </w:rPr>
      </w:r>
      <w:r/>
    </w:p>
    <w:p>
      <w:pPr>
        <w:ind w:firstLine="560"/>
        <w:jc w:val="center"/>
        <w:spacing w:line="520" w:lineRule="exact"/>
        <w:rPr>
          <w:rFonts w:hint="eastAsia" w:ascii="宋体" w:hAnsi="宋体" w:eastAsia="宋体" w:cs="宋体"/>
          <w:b/>
          <w:bCs/>
          <w:color w:val="000000"/>
          <w:sz w:val="30"/>
          <w:szCs w:val="30"/>
        </w:rPr>
      </w:pPr>
      <w:r/>
      <w:bookmarkStart w:id="0" w:name="_Toc481072514"/>
      <w:r/>
      <w:bookmarkStart w:id="1" w:name="_Toc481073014"/>
      <w:r/>
      <w:bookmarkStart w:id="2" w:name="_Toc481072416"/>
      <w:r/>
      <w:bookmarkStart w:id="3" w:name="_Toc475009293"/>
      <w:r/>
      <w:bookmarkStart w:id="4" w:name="_Toc481072009"/>
      <w:r/>
      <w:bookmarkStart w:id="5" w:name="_Toc481071963"/>
      <w:r/>
      <w:bookmarkStart w:id="6" w:name="_Toc483326168"/>
      <w:r/>
      <w:bookmarkStart w:id="7" w:name="_Toc120614210"/>
      <w:r/>
      <w:bookmarkStart w:id="8" w:name="_Toc513029200"/>
      <w:r/>
      <w:bookmarkStart w:id="9" w:name="_Toc16938516"/>
      <w:r/>
      <w:bookmarkStart w:id="10" w:name="_Toc20823272"/>
      <w:r/>
      <w:bookmarkStart w:id="11" w:name="_Toc479757206"/>
      <w:r/>
      <w:bookmarkStart w:id="12" w:name="_Toc523127445"/>
      <w:r>
        <w:rPr>
          <w:rFonts w:hint="eastAsia" w:ascii="宋体" w:hAnsi="宋体" w:eastAsia="宋体" w:cs="宋体"/>
          <w:b/>
          <w:bCs/>
          <w:color w:val="000000"/>
          <w:sz w:val="30"/>
          <w:szCs w:val="30"/>
        </w:rPr>
        <w:t xml:space="preserve">政府采购不见面交易特别提醒</w:t>
      </w:r>
      <w:r/>
    </w:p>
    <w:p>
      <w:pPr>
        <w:keepLines w:val="0"/>
        <w:pageBreakBefore w:val="0"/>
        <w:spacing w:line="360" w:lineRule="auto"/>
        <w:rPr>
          <w:rFonts w:hint="eastAsia" w:ascii="宋体" w:hAnsi="宋体" w:eastAsia="宋体" w:cs="宋体"/>
          <w:color w:val="000000"/>
          <w:spacing w:val="-3"/>
          <w:sz w:val="24"/>
          <w:szCs w:val="24"/>
        </w:rPr>
      </w:pPr>
      <w:r>
        <w:rPr>
          <w:rFonts w:hint="eastAsia" w:ascii="宋体" w:hAnsi="宋体" w:eastAsia="宋体" w:cs="宋体"/>
          <w:color w:val="000000"/>
          <w:sz w:val="24"/>
          <w:szCs w:val="24"/>
        </w:rPr>
        <w:t xml:space="preserve">一、政府采购线上合同信用融资功能告知提醒</w:t>
      </w:r>
      <w:r/>
    </w:p>
    <w:p>
      <w:pPr>
        <w:ind w:firstLine="564"/>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今年我市已正式启用“苏采云”系统，目前已全面开</w:t>
      </w:r>
      <w:r>
        <w:rPr>
          <w:rFonts w:hint="eastAsia" w:ascii="宋体" w:hAnsi="宋体" w:eastAsia="宋体" w:cs="宋体"/>
          <w:color w:val="000000"/>
          <w:spacing w:val="11"/>
          <w:sz w:val="24"/>
          <w:szCs w:val="24"/>
        </w:rPr>
        <w:t xml:space="preserve">通</w:t>
      </w:r>
      <w:r>
        <w:rPr>
          <w:rFonts w:hint="eastAsia" w:ascii="宋体" w:hAnsi="宋体" w:eastAsia="宋体" w:cs="宋体"/>
          <w:color w:val="000000"/>
          <w:spacing w:val="1"/>
          <w:sz w:val="24"/>
          <w:szCs w:val="24"/>
        </w:rPr>
        <w:t xml:space="preserve">政府采购线上合同信用融资（以下简称“政采贷”）功能。成交供应商可凭政府采购合同在中征平台发起贷款申请贷款。</w:t>
      </w:r>
      <w:r/>
    </w:p>
    <w:p>
      <w:pPr>
        <w:pStyle w:val="943"/>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1.“政采贷”业务流程</w:t>
      </w:r>
      <w:r/>
    </w:p>
    <w:p>
      <w:pPr>
        <w:pStyle w:val="943"/>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897880" cy="1791970"/>
                <wp:effectExtent l="0" t="0" r="0" b="0"/>
                <wp:docPr id="7" name="图片 4"/>
                <wp:cNvGraphicFramePr/>
                <a:graphic xmlns:a="http://schemas.openxmlformats.org/drawingml/2006/main">
                  <a:graphicData uri="http://schemas.openxmlformats.org/drawingml/2006/picture">
                    <pic:pic xmlns:pic="http://schemas.openxmlformats.org/drawingml/2006/picture">
                      <pic:nvPicPr>
                        <pic:cNvPr id="7" name="图片 4"/>
                        <pic:cNvPicPr/>
                        <pic:nvPr/>
                      </pic:nvPicPr>
                      <pic:blipFill>
                        <a:blip r:embed="rId17"/>
                        <a:stretch/>
                      </pic:blipFill>
                      <pic:spPr bwMode="auto">
                        <a:xfrm>
                          <a:off x="0" y="0"/>
                          <a:ext cx="5898490" cy="1792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4.4pt;height:141.1pt;mso-wrap-distance-left:0.0pt;mso-wrap-distance-top:0.0pt;mso-wrap-distance-right:0.0pt;mso-wrap-distance-bottom:0.0pt;" stroked="f">
                <v:path textboxrect="0,0,0,0"/>
                <v:imagedata r:id="rId17" o:title=""/>
              </v:shape>
            </w:pict>
          </mc:Fallback>
        </mc:AlternateContent>
      </w:r>
      <w:r/>
    </w:p>
    <w:p>
      <w:pPr>
        <w:pStyle w:val="943"/>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2.操作流程</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43"/>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3.常见问题</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Q1：哪些企业能申请“政采贷”？</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答：江苏省内采用国库集中支付的政府采购项目的中标供应商，可凭政府采购合同申请"政采贷"。</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Q2：供应商在哪里申请“政采贷”？</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答：中标供应商在“中征应收账款融资服务平台”（简称“中征平台”）上向意向银行发起融资申请</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Q3：中标供应商要注意什么？</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答：中标供应商要加强和采购单位的沟通协调，尽早确定融资需求。需要“政采贷”融资的，政府采购合同付款账号应当空置。</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Q4：采购单位要做什么？</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Q5：“政采贷”融资失败怎么办？</w:t>
      </w:r>
      <w:r/>
    </w:p>
    <w:p>
      <w:pPr>
        <w:pStyle w:val="943"/>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43"/>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3.网址及联系方式</w:t>
      </w:r>
      <w:r/>
    </w:p>
    <w:p>
      <w:pPr>
        <w:ind w:firstLine="564"/>
        <w:jc w:val="left"/>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政采贷：</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"http://www.ccgp-jiangsu.gov.cn/jiangsu/paying.html" </w:instrText>
      </w:r>
      <w:r>
        <w:rPr>
          <w:rFonts w:hint="eastAsia" w:ascii="宋体" w:hAnsi="宋体" w:eastAsia="宋体" w:cs="宋体"/>
          <w:sz w:val="24"/>
          <w:szCs w:val="24"/>
        </w:rPr>
        <w:fldChar w:fldCharType="separate"/>
      </w:r>
      <w:r>
        <w:rPr>
          <w:rStyle w:val="956"/>
          <w:rFonts w:hint="eastAsia" w:ascii="宋体" w:hAnsi="宋体" w:eastAsia="宋体" w:cs="宋体"/>
          <w:color w:val="000000"/>
          <w:spacing w:val="1"/>
          <w:sz w:val="24"/>
          <w:szCs w:val="24"/>
        </w:rPr>
        <w:t xml:space="preserve">http://www.ccgp-jiangsu.gov.cn/jiangsu/paying.html</w:t>
      </w:r>
      <w:r>
        <w:rPr>
          <w:rStyle w:val="956"/>
          <w:rFonts w:hint="eastAsia" w:ascii="宋体" w:hAnsi="宋体" w:eastAsia="宋体" w:cs="宋体"/>
          <w:color w:val="000000"/>
          <w:spacing w:val="1"/>
          <w:sz w:val="24"/>
          <w:szCs w:val="24"/>
        </w:rPr>
        <w:fldChar w:fldCharType="end"/>
      </w:r>
      <w:r/>
    </w:p>
    <w:p>
      <w:pPr>
        <w:jc w:val="left"/>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中征平台：</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"https://www.crcrfsp.com/"</w:instrText>
      </w:r>
      <w:r>
        <w:rPr>
          <w:rFonts w:hint="eastAsia" w:ascii="宋体" w:hAnsi="宋体" w:eastAsia="宋体" w:cs="宋体"/>
          <w:sz w:val="24"/>
          <w:szCs w:val="24"/>
        </w:rPr>
        <w:fldChar w:fldCharType="separate"/>
      </w:r>
      <w:r>
        <w:rPr>
          <w:rStyle w:val="956"/>
          <w:rFonts w:hint="eastAsia" w:ascii="宋体" w:hAnsi="宋体" w:eastAsia="宋体" w:cs="宋体"/>
          <w:color w:val="000000"/>
          <w:spacing w:val="1"/>
          <w:sz w:val="24"/>
          <w:szCs w:val="24"/>
        </w:rPr>
        <w:t xml:space="preserve">https://www.crcrfsp.com/</w:t>
      </w:r>
      <w:r>
        <w:rPr>
          <w:rStyle w:val="956"/>
          <w:rFonts w:hint="eastAsia" w:ascii="宋体" w:hAnsi="宋体" w:eastAsia="宋体" w:cs="宋体"/>
          <w:color w:val="000000"/>
          <w:spacing w:val="1"/>
          <w:sz w:val="24"/>
          <w:szCs w:val="24"/>
        </w:rPr>
        <w:fldChar w:fldCharType="end"/>
      </w:r>
      <w:r>
        <w:rPr>
          <w:rFonts w:hint="eastAsia" w:ascii="宋体" w:hAnsi="宋体" w:eastAsia="宋体" w:cs="宋体"/>
          <w:color w:val="000000"/>
          <w:spacing w:val="1"/>
          <w:sz w:val="24"/>
          <w:szCs w:val="24"/>
        </w:rPr>
        <w:t xml:space="preserve">联系电话：0523-82020605</w:t>
      </w:r>
      <w:r/>
    </w:p>
    <w:p>
      <w:pPr>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二、不见面交易投标文件制作提交说明</w:t>
      </w:r>
      <w:r/>
    </w:p>
    <w:p>
      <w:pPr>
        <w:ind w:firstLine="562"/>
        <w:jc w:val="left"/>
        <w:keepLines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b/>
          <w:bCs/>
          <w:color w:val="000000"/>
          <w:sz w:val="24"/>
          <w:szCs w:val="24"/>
        </w:rPr>
        <w:t xml:space="preserve">业务流程：</w:t>
      </w:r>
      <w:r>
        <w:rPr>
          <w:rFonts w:hint="eastAsia" w:ascii="宋体" w:hAnsi="宋体" w:eastAsia="宋体" w:cs="宋体"/>
          <w:color w:val="000000"/>
          <w:sz w:val="24"/>
          <w:szCs w:val="24"/>
          <w:shd w:val="clear" w:color="auto" w:fill="ffffff"/>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指南》。</w:t>
      </w:r>
      <w:r/>
    </w:p>
    <w:p>
      <w:pPr>
        <w:pStyle w:val="947"/>
        <w:ind w:firstLine="6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网址：</w:t>
      </w:r>
      <w:r/>
    </w:p>
    <w:p>
      <w:pPr>
        <w:pStyle w:val="947"/>
        <w:ind w:firstLine="6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http://www.ccgp</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jiangsu.gov.cn/jiangsu/zlxz/ee/ee3a4bc5a3454aa2b0d9312230633ce9.html</w:t>
      </w:r>
      <w:r/>
    </w:p>
    <w:p>
      <w:pPr>
        <w:ind w:firstLine="562"/>
        <w:jc w:val="left"/>
        <w:keepLines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b/>
          <w:bCs/>
          <w:color w:val="000000"/>
          <w:sz w:val="24"/>
          <w:szCs w:val="24"/>
        </w:rPr>
        <w:t xml:space="preserve">2.苏采云资料：</w:t>
      </w:r>
      <w:r>
        <w:rPr>
          <w:rFonts w:hint="eastAsia" w:ascii="宋体" w:hAnsi="宋体" w:eastAsia="宋体" w:cs="宋体"/>
          <w:color w:val="000000"/>
          <w:sz w:val="24"/>
          <w:szCs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w:t>
      </w:r>
      <w:r>
        <w:rPr>
          <w:rFonts w:hint="eastAsia" w:ascii="宋体" w:hAnsi="宋体" w:cs="宋体"/>
          <w:color w:val="000000"/>
          <w:sz w:val="24"/>
          <w:szCs w:val="24"/>
          <w:shd w:val="clear" w:color="auto" w:fill="ffffff"/>
          <w:lang w:val="en-US" w:eastAsia="zh-CN"/>
        </w:rPr>
        <w:t xml:space="preserve">市</w:t>
      </w:r>
      <w:r>
        <w:rPr>
          <w:rFonts w:hint="eastAsia" w:ascii="宋体" w:hAnsi="宋体" w:eastAsia="宋体" w:cs="宋体"/>
          <w:color w:val="000000"/>
          <w:sz w:val="24"/>
          <w:szCs w:val="24"/>
          <w:shd w:val="clear" w:color="auto" w:fill="ffffff"/>
        </w:rPr>
        <w:t xml:space="preserve">政府采购网—服务指南--下载中心，点击进入“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"http://czj.taizhou.gov.cn/art/2022/12/9/art_61762_3436049.html" \o "苏采云系统操作手册（供应商）" </w:instrText>
      </w:r>
      <w:r>
        <w:rPr>
          <w:rFonts w:hint="eastAsia" w:ascii="宋体" w:hAnsi="宋体" w:eastAsia="宋体" w:cs="宋体"/>
          <w:sz w:val="24"/>
          <w:szCs w:val="24"/>
        </w:rPr>
        <w:fldChar w:fldCharType="separate"/>
      </w:r>
      <w:r>
        <w:rPr>
          <w:rStyle w:val="956"/>
          <w:rFonts w:hint="eastAsia" w:ascii="宋体" w:hAnsi="宋体" w:eastAsia="宋体" w:cs="宋体"/>
          <w:color w:val="000000"/>
          <w:sz w:val="24"/>
          <w:szCs w:val="24"/>
          <w:shd w:val="clear" w:color="auto" w:fill="ffffff"/>
        </w:rPr>
        <w:t xml:space="preserve">苏采云系统操作手册（供应商）</w:t>
      </w:r>
      <w:r>
        <w:rPr>
          <w:rStyle w:val="956"/>
          <w:rFonts w:hint="eastAsia" w:ascii="宋体" w:hAnsi="宋体" w:eastAsia="宋体" w:cs="宋体"/>
          <w:color w:val="000000"/>
          <w:sz w:val="24"/>
          <w:szCs w:val="24"/>
          <w:shd w:val="clear" w:color="auto" w:fill="ffffff"/>
        </w:rPr>
        <w:fldChar w:fldCharType="end"/>
      </w:r>
      <w:r>
        <w:rPr>
          <w:rFonts w:hint="eastAsia" w:ascii="宋体" w:hAnsi="宋体" w:eastAsia="宋体" w:cs="宋体"/>
          <w:color w:val="000000"/>
          <w:sz w:val="24"/>
          <w:szCs w:val="24"/>
          <w:shd w:val="clear" w:color="auto" w:fill="ffffff"/>
        </w:rPr>
        <w:t xml:space="preserve">”，进行下载。</w:t>
      </w:r>
      <w:r/>
    </w:p>
    <w:p>
      <w:pPr>
        <w:ind w:firstLine="560"/>
        <w:jc w:val="left"/>
        <w:keepLines w:val="0"/>
        <w:pageBreakBefore w:val="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技术服务联系电话：0523-86897512，0523-87633965</w:t>
      </w:r>
      <w:r/>
    </w:p>
    <w:p>
      <w:pPr>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二、供应商相关法律责任提醒</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w:t>
      </w:r>
      <w:r/>
    </w:p>
    <w:p>
      <w:pPr>
        <w:ind w:firstLine="562"/>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《中华人民共和国政府采购法》</w:t>
      </w:r>
      <w:r>
        <w:rPr>
          <w:rFonts w:hint="eastAsia" w:ascii="宋体" w:hAnsi="宋体" w:eastAsia="宋体" w:cs="宋体"/>
          <w:color w:val="000000"/>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（一）提供虚假材料谋取中标、成交的；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（二）采取不正当手段诋毁、排挤其他供应商的；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（三）与采购人、其他供应商或者采购代理机构恶意串通的；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（四）向采购人、采购代理机构行贿或者提供其他不正当利益的；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（五）在招标采购过程中与采购人进行协商谈判的；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（六）拒绝有关部门监督检查或者提供虚假情况的。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供应商有前款第（一）至（五）项情形之一的，中标、成交无效。</w:t>
      </w:r>
      <w:r/>
    </w:p>
    <w:p>
      <w:pPr>
        <w:ind w:firstLine="562"/>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《中华人民共和国政府采购法实施条例》</w:t>
      </w:r>
      <w:r>
        <w:rPr>
          <w:rFonts w:hint="eastAsia" w:ascii="宋体" w:hAnsi="宋体" w:eastAsia="宋体" w:cs="宋体"/>
          <w:color w:val="000000"/>
          <w:sz w:val="24"/>
          <w:szCs w:val="24"/>
        </w:rPr>
        <w:t xml:space="preserve">第七十二条　供应商有下列情形之一的，依照政府采购法第七十七条第一款的规定追究法律责任：</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（一）向评标委员会、竞争性谈判小组或者询价小组成员行贿或者提供其他不正当利益；</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（二）中标或者成交后无正当理由拒不与采购人签订政府采购合同；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（三）未按照采购文件确定的事项签订政府采购合同；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（四）将政府采购合同转包；</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（五）提供假冒伪劣产品；</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（六）擅自变更、中止或者终止政府采购合同。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97"/>
        <w:keepLines w:val="0"/>
        <w:pageBreakBefore w:val="0"/>
        <w:spacing w:line="360" w:lineRule="auto"/>
        <w:rPr>
          <w:rFonts w:hint="eastAsia" w:ascii="宋体" w:hAnsi="宋体" w:eastAsia="宋体" w:cs="宋体"/>
          <w:b/>
          <w:color w:val="000000"/>
          <w:sz w:val="30"/>
          <w:szCs w:val="30"/>
        </w:rPr>
      </w:pPr>
      <w:r>
        <w:rPr>
          <w:rFonts w:hint="eastAsia" w:ascii="宋体" w:hAnsi="宋体" w:eastAsia="宋体" w:cs="宋体"/>
          <w:b/>
          <w:bCs/>
          <w:color w:val="000000"/>
          <w:sz w:val="40"/>
          <w:szCs w:val="40"/>
        </w:rPr>
        <w:br w:type="page" w:clear="all"/>
      </w:r>
      <w:bookmarkEnd w:id="0"/>
      <w:r/>
      <w:bookmarkEnd w:id="1"/>
      <w:r/>
      <w:bookmarkEnd w:id="2"/>
      <w:r/>
      <w:bookmarkEnd w:id="3"/>
      <w:r/>
      <w:bookmarkEnd w:id="4"/>
      <w:r/>
      <w:bookmarkEnd w:id="5"/>
      <w:r/>
      <w:bookmarkEnd w:id="6"/>
      <w:r/>
      <w:bookmarkStart w:id="13" w:name="_Toc3383088"/>
      <w:r/>
      <w:bookmarkStart w:id="14" w:name="_Toc475009294"/>
      <w:r/>
      <w:bookmarkStart w:id="15" w:name="_Toc511305206"/>
      <w:r/>
      <w:bookmarkStart w:id="16" w:name="_Toc481072010"/>
      <w:r/>
      <w:bookmarkStart w:id="17" w:name="_Toc481071964"/>
      <w:r>
        <w:rPr>
          <w:rFonts w:hint="eastAsia" w:ascii="宋体" w:hAnsi="宋体" w:eastAsia="宋体" w:cs="宋体"/>
          <w:b/>
          <w:color w:val="000000"/>
          <w:sz w:val="30"/>
          <w:szCs w:val="30"/>
        </w:rPr>
        <w:t xml:space="preserve">第一章 </w:t>
      </w:r>
      <w:bookmarkEnd w:id="7"/>
      <w:r/>
      <w:bookmarkEnd w:id="13"/>
      <w:r/>
      <w:bookmarkEnd w:id="14"/>
      <w:r/>
      <w:bookmarkEnd w:id="15"/>
      <w:r/>
      <w:bookmarkEnd w:id="16"/>
      <w:r/>
      <w:bookmarkEnd w:id="17"/>
      <w:r>
        <w:rPr>
          <w:rFonts w:hint="eastAsia" w:ascii="宋体" w:hAnsi="宋体" w:eastAsia="宋体" w:cs="宋体"/>
          <w:b/>
          <w:color w:val="000000"/>
          <w:sz w:val="30"/>
          <w:szCs w:val="30"/>
        </w:rPr>
        <w:t xml:space="preserve">竞争性磋商采购公告</w:t>
      </w:r>
      <w:r/>
    </w:p>
    <w:p>
      <w:pPr>
        <w:spacing w:line="520" w:lineRule="exact"/>
        <w:rPr>
          <w:rFonts w:hint="eastAsia" w:ascii="宋体" w:hAnsi="宋体" w:eastAsia="宋体" w:cs="宋体"/>
          <w:color w:val="000000"/>
        </w:rPr>
      </w:pPr>
      <w:r>
        <w:rPr>
          <w:rFonts w:hint="eastAsia" w:ascii="宋体" w:hAnsi="宋体" w:eastAsia="宋体" w:cs="宋体"/>
          <w:color w:val="000000"/>
        </w:rPr>
      </w:r>
      <w:r/>
    </w:p>
    <w:p>
      <w:pPr>
        <w:jc w:val="left"/>
        <w:keepLines w:val="0"/>
        <w:keepNext w:val="0"/>
        <w:pageBreakBefore w:val="0"/>
        <w:spacing w:line="360" w:lineRule="auto"/>
        <w:widowControl/>
        <w:rPr>
          <w:rFonts w:hint="eastAsia" w:ascii="宋体" w:hAnsi="宋体" w:eastAsia="宋体" w:cs="宋体"/>
          <w:color w:val="000000"/>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8" w:name="OLE_LINK16"/>
      <w:r/>
      <w:bookmarkEnd w:id="18"/>
      <w:r>
        <w:rPr>
          <w:rFonts w:hint="eastAsia" w:ascii="宋体" w:hAnsi="宋体" w:cs="宋体"/>
          <w:bCs/>
          <w:color w:val="000000"/>
          <w:sz w:val="24"/>
          <w:szCs w:val="24"/>
          <w:lang w:eastAsia="zh-CN"/>
        </w:rPr>
        <w:t xml:space="preserve">九龙镇振东疏导点建设工程JSZC-321202-NJGJ-C2025-0053采购</w:t>
      </w:r>
      <w:r>
        <w:rPr>
          <w:rFonts w:hint="eastAsia" w:ascii="宋体" w:hAnsi="宋体" w:eastAsia="宋体" w:cs="宋体"/>
          <w:color w:val="000000"/>
          <w:sz w:val="24"/>
          <w:szCs w:val="24"/>
        </w:rPr>
        <w:t xml:space="preserve">项目的潜在供应商应在江苏政府采购</w:t>
      </w:r>
      <w:r>
        <w:rPr>
          <w:rFonts w:hint="eastAsia" w:ascii="宋体" w:hAnsi="宋体" w:eastAsia="宋体" w:cs="宋体"/>
          <w:color w:val="000000"/>
          <w:sz w:val="24"/>
          <w:szCs w:val="24"/>
          <w:shd w:val="clear" w:color="auto" w:fill="ffffff"/>
        </w:rPr>
        <w:t xml:space="preserve">“苏采云”系统</w:t>
      </w:r>
      <w:r>
        <w:rPr>
          <w:rFonts w:hint="eastAsia" w:ascii="宋体" w:hAnsi="宋体" w:eastAsia="宋体" w:cs="宋体"/>
          <w:color w:val="000000"/>
          <w:sz w:val="24"/>
          <w:szCs w:val="24"/>
        </w:rPr>
        <w:t xml:space="preserve">获取采购文件</w:t>
      </w:r>
      <w:r>
        <w:rPr>
          <w:rFonts w:hint="eastAsia" w:ascii="宋体" w:hAnsi="宋体" w:eastAsia="宋体" w:cs="宋体"/>
          <w:color w:val="auto"/>
          <w:sz w:val="24"/>
          <w:szCs w:val="24"/>
        </w:rPr>
        <w:t xml:space="preserve">，并于2025年</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分（北京时间）前提交响应文件。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w:t>
      </w:r>
      <w:r>
        <w:rPr>
          <w:rFonts w:hint="eastAsia" w:ascii="宋体" w:hAnsi="宋体" w:eastAsia="宋体" w:cs="宋体"/>
          <w:b/>
          <w:bCs/>
          <w:color w:val="000000"/>
          <w:sz w:val="24"/>
          <w:szCs w:val="24"/>
          <w:highlight w:val="none"/>
        </w:rPr>
        <w:t xml:space="preserve">项目基本情况</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w:t>
      </w:r>
      <w:r>
        <w:rPr>
          <w:rFonts w:hint="eastAsia" w:ascii="宋体" w:hAnsi="宋体" w:cs="宋体"/>
          <w:bCs/>
          <w:color w:val="000000"/>
          <w:sz w:val="24"/>
          <w:szCs w:val="24"/>
          <w:highlight w:val="none"/>
          <w:lang w:eastAsia="zh-CN"/>
        </w:rPr>
        <w:t xml:space="preserve">号：</w:t>
      </w:r>
      <w:r>
        <w:rPr>
          <w:rFonts w:hint="eastAsia" w:ascii="宋体" w:hAnsi="宋体" w:cs="宋体"/>
          <w:bCs/>
          <w:color w:val="000000"/>
          <w:sz w:val="24"/>
          <w:szCs w:val="24"/>
          <w:lang w:eastAsia="zh-CN"/>
        </w:rPr>
        <w:t xml:space="preserve">JSZC-321202-NJGJ-C2025-0053</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lang w:eastAsia="zh-CN"/>
        </w:rPr>
        <w:t xml:space="preserve">  </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九龙镇振东疏导点建设工程</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预算金额：3</w:t>
      </w:r>
      <w:r>
        <w:rPr>
          <w:rFonts w:hint="eastAsia" w:ascii="宋体" w:hAnsi="宋体" w:cs="宋体"/>
          <w:color w:val="000000"/>
          <w:sz w:val="24"/>
          <w:szCs w:val="24"/>
          <w:highlight w:val="none"/>
          <w:lang w:val="en-US" w:eastAsia="zh-CN"/>
        </w:rPr>
        <w:t xml:space="preserve">90万元</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最高限价：</w:t>
      </w:r>
      <w:r>
        <w:rPr>
          <w:rFonts w:hint="eastAsia" w:ascii="宋体" w:hAnsi="宋体" w:cs="宋体"/>
          <w:color w:val="000000"/>
          <w:sz w:val="24"/>
          <w:szCs w:val="24"/>
          <w:highlight w:val="none"/>
          <w:lang w:val="en-US" w:eastAsia="zh-CN"/>
        </w:rPr>
        <w:t xml:space="preserve">389.857458</w:t>
      </w:r>
      <w:r>
        <w:rPr>
          <w:rFonts w:hint="eastAsia" w:ascii="宋体" w:hAnsi="宋体" w:eastAsia="宋体" w:cs="宋体"/>
          <w:color w:val="000000"/>
          <w:sz w:val="24"/>
          <w:szCs w:val="24"/>
          <w:highlight w:val="none"/>
          <w:lang w:eastAsia="zh-CN"/>
        </w:rPr>
        <w:t xml:space="preserve">万元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供应商报价如不满足最高限价要求，其</w:t>
      </w:r>
      <w:r>
        <w:rPr>
          <w:rFonts w:hint="eastAsia" w:ascii="宋体" w:hAnsi="宋体" w:eastAsia="宋体" w:cs="宋体"/>
          <w:color w:val="000000"/>
          <w:sz w:val="24"/>
          <w:szCs w:val="24"/>
          <w:highlight w:val="none"/>
          <w:lang w:val="en-US" w:eastAsia="zh-CN"/>
        </w:rPr>
        <w:t xml:space="preserve">响应文件作无效响应文件处理</w:t>
      </w:r>
      <w:r>
        <w:rPr>
          <w:rFonts w:hint="eastAsia" w:ascii="宋体" w:hAnsi="宋体" w:eastAsia="宋体" w:cs="宋体"/>
          <w:color w:val="000000"/>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cs="宋体"/>
          <w:sz w:val="24"/>
          <w:szCs w:val="24"/>
          <w:lang w:val="en-US" w:eastAsia="zh-CN"/>
        </w:rPr>
        <w:t xml:space="preserve">为消除安全隐患，提升城市治理水平，满足广大居民的生活需要，实现城市常态长效管理，九龙镇根据“疏堵结合、便民利民、规范管理”的原则，拟利用</w:t>
      </w:r>
      <w:r>
        <w:rPr>
          <w:rFonts w:hint="eastAsia" w:ascii="宋体" w:hAnsi="宋体" w:cs="宋体"/>
          <w:sz w:val="24"/>
          <w:szCs w:val="24"/>
          <w:highlight w:val="none"/>
          <w:lang w:val="en-US" w:eastAsia="zh-CN"/>
        </w:rPr>
        <w:t xml:space="preserve">龙翔路北侧闲置地块规划建设“便民疏导点”。占地面积8000平方米，建设内容包含农贸大棚土建、钢结构、硬质化地面、围挡围栏、雨污水管网、水电安装、路灯照明和成品化商铺等。</w:t>
      </w:r>
      <w:r>
        <w:rPr>
          <w:rFonts w:hint="eastAsia" w:ascii="宋体" w:hAnsi="宋体" w:eastAsia="宋体" w:cs="宋体"/>
          <w:color w:val="000000"/>
          <w:sz w:val="24"/>
          <w:szCs w:val="24"/>
          <w:highlight w:val="none"/>
        </w:rPr>
        <w:t xml:space="preserve">具体</w:t>
      </w:r>
      <w:r>
        <w:rPr>
          <w:rFonts w:hint="eastAsia" w:ascii="宋体" w:hAnsi="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详见竞争性磋商文件。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35日历天</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二、供应商的资格要求：</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（1）具有独立承担民事责任的能力；</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（2）具有良好的商业信誉和健全的财务会计制度；</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（3）具有履行合同所必需的设备和专业技术能力；</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val="en-US" w:eastAsia="zh-CN"/>
        </w:rPr>
        <w:t xml:space="preserve">具</w:t>
      </w:r>
      <w:r>
        <w:rPr>
          <w:rFonts w:hint="eastAsia" w:ascii="宋体" w:hAnsi="宋体" w:eastAsia="宋体" w:cs="宋体"/>
          <w:color w:val="000000"/>
          <w:sz w:val="24"/>
          <w:szCs w:val="24"/>
        </w:rPr>
        <w:t xml:space="preserve">有依法缴纳税收和社会保障资金的良好记录；</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（5）参加政府采购活动前三年内，在经营活动中没有重大违法记录；</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（6）法律、行政法规和采购文件规定的其他条件。</w:t>
      </w:r>
      <w:r/>
    </w:p>
    <w:p>
      <w:pPr>
        <w:ind w:firstLine="480"/>
        <w:keepLines w:val="0"/>
        <w:keepNext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本项目支持和适用支持中小微企业（财库〔2020〕46号）、（工信部联企业[2011]300号）；支持监狱企业（财库〔2014〕68号）；促进残疾人就业（财库〔2017〕141号）等政策。本项目专门面向</w:t>
      </w:r>
      <w:r>
        <w:rPr>
          <w:rFonts w:hint="eastAsia" w:ascii="宋体" w:hAnsi="宋体" w:eastAsia="宋体" w:cs="宋体"/>
          <w:color w:val="000000"/>
          <w:sz w:val="24"/>
          <w:szCs w:val="24"/>
          <w:lang w:val="en-US" w:eastAsia="zh-CN"/>
        </w:rPr>
        <w:t xml:space="preserve">中小微企业采购，只接受中小微企业投标。中小企业划分标准见《关于印发中小企业划型标准规定的通知》（工信部联企业[2011]300号）。</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（三）本项目的特定资格要求：</w:t>
      </w:r>
      <w:r/>
    </w:p>
    <w:p>
      <w:pPr>
        <w:pStyle w:val="943"/>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 w:name="_Toc35393631"/>
      <w:r/>
      <w:bookmarkStart w:id="20" w:name="_Toc35393800"/>
      <w:r>
        <w:rPr>
          <w:rFonts w:hint="eastAsia" w:ascii="宋体" w:hAnsi="宋体" w:eastAsia="宋体" w:cs="宋体"/>
          <w:color w:val="000000"/>
          <w:sz w:val="24"/>
          <w:szCs w:val="24"/>
        </w:rPr>
        <w:t xml:space="preserve">1.投标供应商具备有效的</w:t>
      </w:r>
      <w:r>
        <w:rPr>
          <w:rFonts w:hint="eastAsia" w:ascii="宋体" w:hAnsi="宋体" w:eastAsia="宋体" w:cs="宋体"/>
          <w:color w:val="000000"/>
          <w:sz w:val="24"/>
          <w:szCs w:val="24"/>
          <w:u w:val="single"/>
        </w:rPr>
        <w:t xml:space="preserve">[施工总承包·建筑工程·建筑工程</w:t>
      </w:r>
      <w:r>
        <w:rPr>
          <w:rFonts w:hint="eastAsia" w:ascii="宋体" w:hAnsi="宋体" w:eastAsia="宋体" w:cs="宋体"/>
          <w:color w:val="000000"/>
          <w:sz w:val="24"/>
          <w:szCs w:val="24"/>
          <w:u w:val="single"/>
          <w:lang w:val="en-US" w:eastAsia="zh-CN"/>
        </w:rPr>
        <w:t xml:space="preserve">三</w:t>
      </w:r>
      <w:r>
        <w:rPr>
          <w:rFonts w:hint="eastAsia" w:ascii="宋体" w:hAnsi="宋体" w:eastAsia="宋体" w:cs="宋体"/>
          <w:color w:val="000000"/>
          <w:sz w:val="24"/>
          <w:szCs w:val="24"/>
          <w:u w:val="single"/>
        </w:rPr>
        <w:t xml:space="preserve">级]</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含</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以上</w:t>
      </w:r>
      <w:r>
        <w:rPr>
          <w:rFonts w:hint="eastAsia" w:ascii="宋体" w:hAnsi="宋体" w:eastAsia="宋体" w:cs="宋体"/>
          <w:color w:val="000000"/>
          <w:sz w:val="24"/>
          <w:szCs w:val="24"/>
        </w:rPr>
        <w:t xml:space="preserve">资质，及有效的企业安全生产许可证；</w:t>
      </w:r>
      <w:bookmarkEnd w:id="19"/>
      <w:r/>
      <w:bookmarkEnd w:id="20"/>
      <w:r/>
      <w:r/>
    </w:p>
    <w:p>
      <w:pPr>
        <w:pStyle w:val="943"/>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2.拟派的项目负责人系已在供应商单位注册并具备有效的</w:t>
      </w:r>
      <w:r>
        <w:rPr>
          <w:rFonts w:hint="eastAsia" w:ascii="宋体" w:hAnsi="宋体" w:eastAsia="宋体" w:cs="宋体"/>
          <w:color w:val="000000"/>
          <w:sz w:val="24"/>
          <w:szCs w:val="24"/>
          <w:u w:val="single"/>
        </w:rPr>
        <w:t xml:space="preserve">[注册</w:t>
      </w:r>
      <w:r>
        <w:rPr>
          <w:rFonts w:hint="eastAsia" w:cs="宋体"/>
          <w:color w:val="000000"/>
          <w:sz w:val="24"/>
          <w:szCs w:val="24"/>
          <w:u w:val="single"/>
          <w:lang w:val="en-US" w:eastAsia="zh-CN"/>
        </w:rPr>
        <w:t xml:space="preserve">二</w:t>
      </w:r>
      <w:r>
        <w:rPr>
          <w:rFonts w:hint="eastAsia" w:ascii="宋体" w:hAnsi="宋体" w:eastAsia="宋体" w:cs="宋体"/>
          <w:color w:val="000000"/>
          <w:sz w:val="24"/>
          <w:szCs w:val="24"/>
          <w:u w:val="single"/>
        </w:rPr>
        <w:t xml:space="preserve">级建造师·建筑工程](含)以上</w:t>
      </w:r>
      <w:r>
        <w:rPr>
          <w:rFonts w:hint="eastAsia" w:ascii="宋体" w:hAnsi="宋体" w:eastAsia="宋体" w:cs="宋体"/>
          <w:color w:val="000000"/>
          <w:sz w:val="24"/>
          <w:szCs w:val="24"/>
        </w:rPr>
        <w:t xml:space="preserve">执业资格，具备有效的安全生产考核合格证书（B证），且无在建工程；（项目负责人提供人员证书扫描件以及投标供应商为其缴纳的2025年</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月-2025年1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月中任意一个月的社保缴纳证明扫描件（若为退休人员（不超过65周岁），需提供退休证明及返聘证明材料），同时提供无在建工程的承诺书）；</w:t>
      </w:r>
      <w:r/>
    </w:p>
    <w:p>
      <w:pPr>
        <w:pStyle w:val="943"/>
        <w:ind w:left="0" w:firstLine="7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3.项目负责人不得同时在两个或者两个以上单位受聘或者执业，仅限于以下情形：</w:t>
      </w:r>
      <w:r/>
    </w:p>
    <w:p>
      <w:pPr>
        <w:pStyle w:val="943"/>
        <w:ind w:left="0" w:firstLine="7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①同时在两个及以上单位签订劳动合同或缴纳社会保险；</w:t>
      </w:r>
      <w:r/>
    </w:p>
    <w:p>
      <w:pPr>
        <w:pStyle w:val="943"/>
        <w:ind w:left="0" w:firstLine="7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②将本人执（职）业资格证书同时注册在两个及以上单位；</w:t>
      </w:r>
      <w:r/>
    </w:p>
    <w:p>
      <w:pPr>
        <w:pStyle w:val="943"/>
        <w:ind w:left="0" w:firstLine="7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③在其他企业担任法定代表人。 </w:t>
      </w:r>
      <w:r/>
    </w:p>
    <w:p>
      <w:pPr>
        <w:pStyle w:val="943"/>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4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注：以上在建工程是指在其他项目担任项目负责人职务。此项评审方式为</w:t>
      </w:r>
      <w:r>
        <w:rPr>
          <w:rFonts w:hint="eastAsia" w:ascii="宋体" w:hAnsi="宋体" w:eastAsia="宋体" w:cs="宋体"/>
          <w:color w:val="000000"/>
          <w:sz w:val="24"/>
          <w:szCs w:val="24"/>
          <w:highlight w:val="none"/>
        </w:rPr>
        <w:t xml:space="preserve">承诺制，如查实投标供应商在《承诺</w:t>
      </w:r>
      <w:r>
        <w:rPr>
          <w:rFonts w:hint="eastAsia" w:ascii="宋体" w:hAnsi="宋体" w:eastAsia="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rPr>
        <w:t xml:space="preserve">》中虚假承诺，按弄虚作假处理。</w:t>
      </w:r>
      <w:r/>
    </w:p>
    <w:p>
      <w:pPr>
        <w:pStyle w:val="943"/>
        <w:ind w:left="0" w:firstLine="480"/>
        <w:jc w:val="both"/>
        <w:keepLines w:val="0"/>
        <w:keepNext w:val="0"/>
        <w:pageBreakBefore w:val="0"/>
        <w:spacing w:before="0" w:beforeAutospacing="0" w:after="0" w:afterAutospacing="0" w:line="360" w:lineRule="auto"/>
        <w:widowControl w:val="off"/>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5.评标时，投标人投标所用资质核查结果为不达标的，视为投标人资质条件不符合国家有关规定，或不满足招标文件规定的资格条件。 </w:t>
      </w:r>
      <w:r/>
    </w:p>
    <w:p>
      <w:pPr>
        <w:pStyle w:val="943"/>
        <w:ind w:left="0" w:firstLine="480"/>
        <w:jc w:val="both"/>
        <w:keepLines w:val="0"/>
        <w:keepNext w:val="0"/>
        <w:pageBreakBefore w:val="0"/>
        <w:spacing w:before="0" w:beforeAutospacing="0" w:after="0" w:afterAutospacing="0" w:line="360" w:lineRule="auto"/>
        <w:widowControl w:val="off"/>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动态监管不合格资质查询网址：</w:t>
      </w:r>
      <w:r/>
    </w:p>
    <w:p>
      <w:pPr>
        <w:pStyle w:val="943"/>
        <w:ind w:left="0" w:firstLine="480"/>
        <w:jc w:val="both"/>
        <w:keepLines w:val="0"/>
        <w:keepNext w:val="0"/>
        <w:pageBreakBefore w:val="0"/>
        <w:spacing w:before="0" w:beforeAutospacing="0" w:after="0" w:afterAutospacing="0" w:line="360" w:lineRule="auto"/>
        <w:widowControl w:val="off"/>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https://zhfwpt.jsszfhcxjst.jiangsu.gov.cn:12443/ms/admin/#/open/dthc-list</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拒绝下述供应商参加本次采购活动:</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被“信用中国”网站(www.creditchina.gov.cn)列入失信被执行人，重</w:t>
      </w:r>
      <w:r>
        <w:rPr>
          <w:rFonts w:hint="eastAsia" w:ascii="宋体" w:hAnsi="宋体" w:eastAsia="宋体" w:cs="宋体"/>
          <w:color w:val="000000"/>
          <w:sz w:val="24"/>
          <w:szCs w:val="24"/>
        </w:rPr>
        <w:t xml:space="preserve">大税收违法失信主体、政府采购严重违法失信行为记录名单的；</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为采购项目提供整体设计、规范编制或者项目管理、监理、检测等服务的供应商，不得再参加该采购项目的其他采购活动。</w:t>
      </w:r>
      <w:r/>
    </w:p>
    <w:p>
      <w:pPr>
        <w:pStyle w:val="898"/>
        <w:ind w:firstLine="482"/>
        <w:jc w:val="both"/>
        <w:keepLines w:val="0"/>
        <w:keepNext w:val="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三、获取采购文件</w:t>
      </w:r>
      <w:r/>
    </w:p>
    <w:p>
      <w:pPr>
        <w:ind w:firstLine="480"/>
        <w:keepLines w:val="0"/>
        <w:keepNext w:val="0"/>
        <w:pageBreakBefore w:val="0"/>
        <w:spacing w:line="360" w:lineRule="auto"/>
        <w:rPr>
          <w:rFonts w:hint="eastAsia" w:ascii="宋体" w:hAnsi="宋体" w:eastAsia="宋体" w:cs="宋体"/>
          <w:color w:val="000000"/>
          <w:sz w:val="24"/>
          <w:szCs w:val="24"/>
        </w:rPr>
      </w:pPr>
      <w:r/>
      <w:bookmarkStart w:id="21" w:name="_Toc28359092"/>
      <w:r/>
      <w:bookmarkStart w:id="22" w:name="_Toc35393801"/>
      <w:r/>
      <w:bookmarkStart w:id="23" w:name="_Toc28359015"/>
      <w:r/>
      <w:bookmarkStart w:id="24" w:name="_Toc35393632"/>
      <w:r>
        <w:rPr>
          <w:rFonts w:hint="eastAsia" w:ascii="宋体" w:hAnsi="宋体" w:eastAsia="宋体" w:cs="宋体"/>
          <w:color w:val="000000"/>
          <w:sz w:val="24"/>
          <w:szCs w:val="24"/>
        </w:rPr>
        <w:t xml:space="preserve">时间：自磋商文件公告发布之日起5个工作日</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地点：江苏政府采购“苏采云”系统</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方式：江苏政府采购“苏采云”系统自行免费下载</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售价：0.00元</w:t>
      </w:r>
      <w:r/>
    </w:p>
    <w:p>
      <w:pPr>
        <w:pStyle w:val="898"/>
        <w:ind w:firstLine="482"/>
        <w:jc w:val="both"/>
        <w:keepLines w:val="0"/>
        <w:keepNext w:val="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四、响应文件提交</w:t>
      </w:r>
      <w:bookmarkEnd w:id="21"/>
      <w:r/>
      <w:bookmarkEnd w:id="22"/>
      <w:r/>
      <w:bookmarkEnd w:id="23"/>
      <w:r/>
      <w:bookmarkEnd w:id="24"/>
      <w:r/>
      <w:r/>
    </w:p>
    <w:p>
      <w:pPr>
        <w:pStyle w:val="922"/>
        <w:ind w:firstLine="480"/>
        <w:keepLines w:val="0"/>
        <w:keepNext w:val="0"/>
        <w:pageBreakBefore w:val="0"/>
        <w:spacing w:line="360" w:lineRule="auto"/>
        <w:rPr>
          <w:rFonts w:hint="eastAsia" w:ascii="宋体" w:hAnsi="宋体" w:eastAsia="宋体" w:cs="宋体"/>
          <w:color w:val="000000"/>
          <w:sz w:val="24"/>
          <w:szCs w:val="24"/>
          <w:highlight w:val="none"/>
        </w:rPr>
      </w:pPr>
      <w:r/>
      <w:bookmarkStart w:id="25" w:name="_Toc28359093"/>
      <w:r/>
      <w:bookmarkStart w:id="26" w:name="_Toc35393633"/>
      <w:r/>
      <w:bookmarkStart w:id="27" w:name="_Toc35393802"/>
      <w:r/>
      <w:bookmarkStart w:id="28" w:name="_Toc28359016"/>
      <w:r>
        <w:rPr>
          <w:rFonts w:hint="eastAsia" w:ascii="宋体" w:hAnsi="宋体" w:eastAsia="宋体" w:cs="宋体"/>
          <w:color w:val="000000"/>
          <w:sz w:val="24"/>
          <w:szCs w:val="24"/>
        </w:rPr>
        <w:t xml:space="preserve">截止时间：2025</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日</w:t>
      </w:r>
      <w:r>
        <w:rPr>
          <w:rFonts w:hint="eastAsia"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p>
    <w:p>
      <w:pPr>
        <w:pStyle w:val="92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hAnsi="宋体" w:cs="宋体"/>
          <w:color w:val="000000"/>
          <w:sz w:val="24"/>
          <w:szCs w:val="24"/>
          <w:highlight w:val="none"/>
          <w:lang w:eastAsia="zh-CN"/>
        </w:rPr>
        <w:t xml:space="preserve">江苏政府采购“苏采云”</w:t>
      </w:r>
      <w:r>
        <w:rPr>
          <w:rFonts w:hint="eastAsia" w:ascii="宋体" w:hAnsi="宋体" w:eastAsia="宋体" w:cs="宋体"/>
          <w:color w:val="000000"/>
          <w:sz w:val="24"/>
          <w:szCs w:val="24"/>
          <w:highlight w:val="none"/>
        </w:rPr>
        <w:t xml:space="preserve">系统</w:t>
      </w:r>
      <w:r/>
    </w:p>
    <w:p>
      <w:pPr>
        <w:pStyle w:val="898"/>
        <w:ind w:firstLine="482"/>
        <w:jc w:val="both"/>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五、开启</w:t>
      </w:r>
      <w:bookmarkEnd w:id="25"/>
      <w:r/>
      <w:bookmarkEnd w:id="26"/>
      <w:r/>
      <w:bookmarkEnd w:id="27"/>
      <w:r/>
      <w:bookmarkEnd w:id="28"/>
      <w:r/>
      <w:r/>
    </w:p>
    <w:p>
      <w:pPr>
        <w:pStyle w:val="922"/>
        <w:ind w:firstLine="482"/>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时间：</w:t>
      </w:r>
      <w:r>
        <w:rPr>
          <w:rFonts w:hint="eastAsia" w:ascii="宋体" w:hAnsi="宋体" w:eastAsia="宋体" w:cs="宋体"/>
          <w:color w:val="000000"/>
          <w:sz w:val="24"/>
          <w:szCs w:val="24"/>
          <w:highlight w:val="none"/>
        </w:rPr>
        <w:t xml:space="preserve">2025年</w:t>
      </w:r>
      <w:r>
        <w:rPr>
          <w:rFonts w:hint="eastAsia"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22</w:t>
      </w:r>
      <w:bookmarkStart w:id="731" w:name="_GoBack"/>
      <w:r/>
      <w:bookmarkEnd w:id="731"/>
      <w:r>
        <w:rPr>
          <w:rFonts w:hint="eastAsia" w:ascii="宋体" w:hAnsi="宋体" w:eastAsia="宋体" w:cs="宋体"/>
          <w:color w:val="000000"/>
          <w:sz w:val="24"/>
          <w:szCs w:val="24"/>
          <w:highlight w:val="none"/>
        </w:rPr>
        <w:t xml:space="preserve">日</w:t>
      </w:r>
      <w:r>
        <w:rPr>
          <w:rFonts w:hint="eastAsia"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地点：</w:t>
      </w:r>
      <w:bookmarkStart w:id="29" w:name="_Toc35393634"/>
      <w:r/>
      <w:bookmarkStart w:id="30" w:name="_Toc28359017"/>
      <w:r/>
      <w:bookmarkStart w:id="31" w:name="_Toc28359094"/>
      <w:r/>
      <w:bookmarkStart w:id="32" w:name="_Toc35393803"/>
      <w:r>
        <w:rPr>
          <w:rFonts w:hint="eastAsia" w:ascii="宋体" w:hAnsi="宋体" w:cs="宋体"/>
          <w:color w:val="000000"/>
          <w:sz w:val="24"/>
          <w:szCs w:val="24"/>
          <w:highlight w:val="none"/>
          <w:lang w:eastAsia="zh-CN"/>
        </w:rPr>
        <w:t xml:space="preserve">江苏政府采购“苏采云”</w:t>
      </w:r>
      <w:r>
        <w:rPr>
          <w:rFonts w:hint="eastAsia" w:ascii="宋体" w:hAnsi="宋体" w:eastAsia="宋体" w:cs="宋体"/>
          <w:color w:val="000000"/>
          <w:sz w:val="24"/>
          <w:szCs w:val="24"/>
          <w:highlight w:val="none"/>
        </w:rPr>
        <w:t xml:space="preserve">系统不见面开标大厅</w:t>
      </w:r>
      <w:r/>
    </w:p>
    <w:p>
      <w:pPr>
        <w:ind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六、公告期限</w:t>
      </w:r>
      <w:bookmarkEnd w:id="29"/>
      <w:r/>
      <w:bookmarkEnd w:id="30"/>
      <w:r/>
      <w:bookmarkEnd w:id="31"/>
      <w:r/>
      <w:bookmarkEnd w:id="32"/>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p>
    <w:p>
      <w:pPr>
        <w:pStyle w:val="898"/>
        <w:ind w:firstLine="482"/>
        <w:jc w:val="both"/>
        <w:keepLines w:val="0"/>
        <w:keepNext w:val="0"/>
        <w:pageBreakBefore w:val="0"/>
        <w:spacing w:before="0" w:after="0" w:line="360" w:lineRule="auto"/>
        <w:rPr>
          <w:rFonts w:hint="eastAsia" w:ascii="宋体" w:hAnsi="宋体" w:eastAsia="宋体" w:cs="宋体"/>
          <w:color w:val="000000"/>
          <w:sz w:val="24"/>
          <w:szCs w:val="24"/>
        </w:rPr>
      </w:pPr>
      <w:r/>
      <w:bookmarkStart w:id="33" w:name="_Toc35393804"/>
      <w:r/>
      <w:bookmarkStart w:id="34" w:name="_Toc35393635"/>
      <w:r>
        <w:rPr>
          <w:rFonts w:hint="eastAsia" w:ascii="宋体" w:hAnsi="宋体" w:eastAsia="宋体" w:cs="宋体"/>
          <w:color w:val="000000"/>
          <w:sz w:val="24"/>
          <w:szCs w:val="24"/>
        </w:rPr>
        <w:t xml:space="preserve">七、其他补充事宜</w:t>
      </w:r>
      <w:bookmarkEnd w:id="33"/>
      <w:r/>
      <w:bookmarkEnd w:id="34"/>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采购采用“江苏省政府采购管理交易系统(苏采云)”，招标、投标、开标、评标、定标实现全程电子化。供应商应当按照《苏采云系统操作手册（供应商》（以下简称操作手册）参加投标活动，如供应商未按要求操作，由此所产生的风险由供应商自行承担。</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2.供应商应按照《操作手册》进行注册入库、办理CA及电子签章，并按《操作手册》要求进行网上投标参与、下载采购文件、标书制作、上传投标文件、开评标。技术服务联系电话：0523-86897512，0523-87633965。</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（1）登录 http://jszfcg.jsczt.cn/，点击“苏采云”进入系统。</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（2）“CA数字证书”的获取：供应商需办理CA锁（原国信CA须更换新CA,详见</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"http://jsxcmm.com/help/gys.html）。" </w:instrText>
      </w:r>
      <w:r>
        <w:rPr>
          <w:rFonts w:hint="eastAsia" w:ascii="宋体" w:hAnsi="宋体" w:eastAsia="宋体" w:cs="宋体"/>
          <w:sz w:val="24"/>
          <w:szCs w:val="24"/>
        </w:rPr>
        <w:fldChar w:fldCharType="separate"/>
      </w:r>
      <w:r>
        <w:rPr>
          <w:rStyle w:val="956"/>
          <w:rFonts w:hint="eastAsia" w:ascii="宋体" w:hAnsi="宋体" w:eastAsia="宋体" w:cs="宋体"/>
          <w:color w:val="000000"/>
          <w:sz w:val="24"/>
          <w:szCs w:val="24"/>
        </w:rPr>
        <w:t xml:space="preserve">http://jsxcmm.com/help/gys.html）。</w:t>
      </w:r>
      <w:r>
        <w:rPr>
          <w:rStyle w:val="956"/>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投标客户端工具及供应商操作手册可访问江苏政府采购网，“资料下载”进行下载《江苏省政府采购管理交易系统（苏采云）供应商操作手册》。</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次采购采用不见面开标模式，竞争性磋商项目将与供应商就磋商文件进行线上磋商，请供应商按照操作手册进入不见面开标大厅，因供应商自身设备故障或自身原因导致无法完成投标的，由供应商自行承担后果。</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关本次采购的事项若存在变动或修改，敬请及时关注“江苏政府采购网”发布的更正公告。因供应商未尽注意义务，未及时全面地关注更正公告导致其递交的响应材料不符合采购文件要求而造成的损失及风险由供应商自行承担。</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5.在评标结束前，各供应商授权代表应保持手机畅通，以便及时澄清答疑。</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6.如在开标时间发生系统故障等不可预见情况，导致开评标活动无法正常进行的，将延迟开评标时间，具体开评标时间另行通知。</w:t>
      </w:r>
      <w:r/>
    </w:p>
    <w:p>
      <w:pPr>
        <w:ind w:firstLine="480"/>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000000"/>
          <w:sz w:val="24"/>
          <w:szCs w:val="24"/>
          <w:lang w:val="en-US" w:eastAsia="zh-CN"/>
        </w:rPr>
        <w:t xml:space="preserve">规定的时间内</w:t>
      </w:r>
      <w:r>
        <w:rPr>
          <w:rFonts w:hint="eastAsia" w:ascii="宋体" w:hAnsi="宋体" w:eastAsia="宋体" w:cs="宋体"/>
          <w:b/>
          <w:color w:val="000000"/>
          <w:sz w:val="24"/>
          <w:szCs w:val="24"/>
        </w:rPr>
        <w:t xml:space="preserve">填写并提交最后报价，未在规定时间内提交最后报价的，视作无效响应处理。</w:t>
      </w:r>
      <w:r/>
    </w:p>
    <w:p>
      <w:pPr>
        <w:ind w:firstLine="480"/>
        <w:jc w:val="left"/>
        <w:keepLines w:val="0"/>
        <w:keepNext w:val="0"/>
        <w:pageBreakBefore w:val="0"/>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7.如认为上述公告中，有违反公平竞争审查标准的内容，联系泰州市九龙镇人民政府或</w:t>
      </w:r>
      <w:r>
        <w:rPr>
          <w:rFonts w:hint="eastAsia" w:ascii="宋体" w:hAnsi="宋体" w:cs="宋体"/>
          <w:color w:val="000000"/>
          <w:sz w:val="24"/>
          <w:szCs w:val="24"/>
          <w:lang w:val="en-US" w:eastAsia="zh-CN"/>
        </w:rPr>
        <w:t xml:space="preserve">南京国景工程项目管理有限公司</w:t>
      </w:r>
      <w:r>
        <w:rPr>
          <w:rFonts w:hint="eastAsia" w:ascii="宋体" w:hAnsi="宋体" w:eastAsia="宋体" w:cs="宋体"/>
          <w:color w:val="000000"/>
          <w:sz w:val="24"/>
          <w:szCs w:val="24"/>
          <w:lang w:val="en-US" w:eastAsia="zh-CN"/>
        </w:rPr>
        <w:t xml:space="preserve">，联系人:</w:t>
      </w:r>
      <w:r>
        <w:rPr>
          <w:rFonts w:hint="eastAsia" w:ascii="宋体" w:hAnsi="宋体" w:cs="宋体"/>
          <w:color w:val="000000"/>
          <w:sz w:val="24"/>
          <w:szCs w:val="24"/>
          <w:lang w:val="en-US" w:eastAsia="zh-CN"/>
        </w:rPr>
        <w:t xml:space="preserve">王女士</w:t>
      </w:r>
      <w:r>
        <w:rPr>
          <w:rFonts w:hint="eastAsia" w:ascii="宋体" w:hAnsi="宋体" w:eastAsia="宋体" w:cs="宋体"/>
          <w:color w:val="000000"/>
          <w:sz w:val="24"/>
          <w:szCs w:val="24"/>
          <w:lang w:val="en-US" w:eastAsia="zh-CN"/>
        </w:rPr>
        <w:t xml:space="preserve">，联系方式:</w:t>
      </w:r>
      <w:r>
        <w:rPr>
          <w:rFonts w:hint="eastAsia" w:ascii="宋体" w:hAnsi="宋体" w:cs="宋体"/>
          <w:color w:val="000000"/>
          <w:sz w:val="24"/>
          <w:szCs w:val="24"/>
          <w:lang w:val="en-US" w:eastAsia="zh-CN"/>
        </w:rPr>
        <w:t xml:space="preserve">18252600401</w:t>
      </w:r>
      <w:r>
        <w:rPr>
          <w:rFonts w:hint="eastAsia" w:ascii="宋体" w:hAnsi="宋体" w:eastAsia="宋体" w:cs="宋体"/>
          <w:color w:val="000000"/>
          <w:sz w:val="24"/>
          <w:szCs w:val="24"/>
          <w:lang w:val="en-US" w:eastAsia="zh-CN"/>
        </w:rPr>
        <w:t xml:space="preserve">。</w:t>
      </w:r>
      <w:r/>
    </w:p>
    <w:p>
      <w:pPr>
        <w:ind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八、本次招标联系事项</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p>
    <w:p>
      <w:pPr>
        <w:ind w:firstLine="482"/>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eastAsia="zh-CN"/>
        </w:rPr>
        <w:t xml:space="preserve">泰州市九龙镇人民政府</w:t>
      </w:r>
      <w:r/>
    </w:p>
    <w:p>
      <w:pPr>
        <w:ind w:firstLine="48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地    址：泰州市海陵区龙园路201号</w:t>
      </w:r>
      <w:r/>
    </w:p>
    <w:p>
      <w:pPr>
        <w:ind w:firstLine="482"/>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eastAsia="宋体" w:cs="宋体"/>
          <w:color w:val="000000"/>
          <w:sz w:val="24"/>
          <w:szCs w:val="24"/>
          <w:highlight w:val="none"/>
          <w:lang w:val="en-US" w:eastAsia="zh-CN"/>
        </w:rPr>
        <w:t xml:space="preserve">陈</w:t>
      </w:r>
      <w:r>
        <w:rPr>
          <w:rFonts w:hint="eastAsia" w:ascii="宋体" w:hAnsi="宋体" w:eastAsia="宋体" w:cs="宋体"/>
          <w:color w:val="000000"/>
          <w:sz w:val="24"/>
          <w:szCs w:val="24"/>
          <w:highlight w:val="none"/>
          <w:lang w:eastAsia="zh-CN"/>
        </w:rPr>
        <w:t xml:space="preserve">先生，联系方式：0523-</w:t>
      </w:r>
      <w:r>
        <w:rPr>
          <w:rFonts w:hint="eastAsia" w:ascii="宋体" w:hAnsi="宋体" w:cs="宋体"/>
          <w:color w:val="000000"/>
          <w:sz w:val="24"/>
          <w:szCs w:val="24"/>
          <w:highlight w:val="none"/>
          <w:lang w:val="en-US" w:eastAsia="zh-CN"/>
        </w:rPr>
        <w:t xml:space="preserve">86192993</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r/>
    </w:p>
    <w:p>
      <w:pPr>
        <w:ind w:firstLine="482"/>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南京国景工程项目管理有限公司</w:t>
      </w:r>
      <w:r/>
    </w:p>
    <w:p>
      <w:pPr>
        <w:ind w:firstLine="482"/>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　　址：</w:t>
      </w:r>
      <w:r>
        <w:rPr>
          <w:rFonts w:hint="eastAsia" w:ascii="宋体" w:hAnsi="宋体" w:cs="宋体"/>
          <w:color w:val="000000"/>
          <w:sz w:val="24"/>
          <w:szCs w:val="24"/>
          <w:shd w:val="clear" w:color="auto" w:fill="ffffff"/>
          <w:lang w:eastAsia="zh-CN"/>
        </w:rPr>
        <w:t xml:space="preserve">泰州市海陵区中嘉装饰城北区24幢5楼(北区西门第一个路口右拐金海洋瓷砖旁)电梯上五楼</w:t>
      </w:r>
      <w:r/>
    </w:p>
    <w:p>
      <w:pPr>
        <w:ind w:firstLine="482"/>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val="en-US" w:eastAsia="zh-CN"/>
        </w:rPr>
        <w:t xml:space="preserve">王女士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val="en-US" w:eastAsia="zh-CN"/>
        </w:rPr>
        <w:t xml:space="preserve">18252600401</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w:t>
      </w:r>
      <w:r>
        <w:rPr>
          <w:rFonts w:hint="eastAsia" w:ascii="宋体" w:hAnsi="宋体" w:cs="宋体"/>
          <w:color w:val="000000"/>
          <w:sz w:val="24"/>
          <w:szCs w:val="24"/>
          <w:lang w:val="en-US" w:eastAsia="zh-CN"/>
        </w:rPr>
        <w:t xml:space="preserve">王女士</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话：</w:t>
      </w:r>
      <w:r>
        <w:rPr>
          <w:rFonts w:hint="eastAsia" w:ascii="宋体" w:hAnsi="宋体" w:cs="宋体"/>
          <w:color w:val="000000"/>
          <w:sz w:val="24"/>
          <w:szCs w:val="24"/>
          <w:lang w:val="en-US" w:eastAsia="zh-CN"/>
        </w:rPr>
        <w:t xml:space="preserve">18252600401</w:t>
      </w:r>
      <w:r/>
    </w:p>
    <w:p>
      <w:pPr>
        <w:pStyle w:val="897"/>
        <w:ind w:firstLine="480"/>
        <w:keepLines w:val="0"/>
        <w:pageBreakBefore w:val="0"/>
        <w:spacing w:line="360" w:lineRule="auto"/>
        <w:rPr>
          <w:rFonts w:hint="eastAsia" w:ascii="宋体" w:hAnsi="宋体" w:eastAsia="宋体" w:cs="宋体"/>
          <w:bCs/>
          <w:color w:val="000000"/>
          <w:sz w:val="30"/>
          <w:szCs w:val="30"/>
          <w:highlight w:val="none"/>
        </w:rPr>
      </w:pPr>
      <w:r/>
      <w:bookmarkStart w:id="35" w:name="_Toc481072011"/>
      <w:r/>
      <w:bookmarkStart w:id="36" w:name="_Toc481071965"/>
      <w:r/>
      <w:bookmarkStart w:id="37" w:name="_Toc475009295"/>
      <w:r/>
      <w:bookmarkStart w:id="38" w:name="_Toc120614211"/>
      <w:r/>
      <w:bookmarkStart w:id="39" w:name="_Toc3383089"/>
      <w:r/>
      <w:bookmarkStart w:id="40" w:name="_Toc511305207"/>
      <w:r>
        <w:rPr>
          <w:rFonts w:hint="eastAsia" w:ascii="宋体" w:hAnsi="宋体" w:eastAsia="宋体" w:cs="宋体"/>
          <w:b/>
          <w:color w:val="000000"/>
          <w:sz w:val="30"/>
          <w:szCs w:val="30"/>
          <w:highlight w:val="none"/>
        </w:rPr>
        <w:t xml:space="preserve">第二章  </w:t>
      </w:r>
      <w:bookmarkEnd w:id="8"/>
      <w:r/>
      <w:bookmarkEnd w:id="9"/>
      <w:r/>
      <w:bookmarkEnd w:id="10"/>
      <w:r/>
      <w:bookmarkEnd w:id="11"/>
      <w:r/>
      <w:bookmarkEnd w:id="12"/>
      <w:r/>
      <w:bookmarkEnd w:id="35"/>
      <w:r/>
      <w:bookmarkEnd w:id="36"/>
      <w:r/>
      <w:bookmarkEnd w:id="37"/>
      <w:r/>
      <w:bookmarkEnd w:id="38"/>
      <w:r>
        <w:rPr>
          <w:rFonts w:hint="eastAsia" w:ascii="宋体" w:hAnsi="宋体" w:eastAsia="宋体" w:cs="宋体"/>
          <w:b/>
          <w:color w:val="000000"/>
          <w:sz w:val="30"/>
          <w:szCs w:val="30"/>
          <w:highlight w:val="none"/>
        </w:rPr>
        <w:t xml:space="preserve">供应商须知</w:t>
      </w:r>
      <w:bookmarkEnd w:id="39"/>
      <w:r/>
      <w:bookmarkEnd w:id="40"/>
      <w:r/>
      <w:r/>
    </w:p>
    <w:p>
      <w:pPr>
        <w:numPr>
          <w:ilvl w:val="0"/>
          <w:numId w:val="4"/>
        </w:num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bookmarkStart w:id="41" w:name="_Toc479757207"/>
      <w:r/>
      <w:bookmarkStart w:id="42" w:name="_Toc16938558"/>
      <w:r/>
      <w:bookmarkStart w:id="43" w:name="_Toc513029242"/>
      <w:r/>
      <w:bookmarkStart w:id="44" w:name="_Toc20823314"/>
      <w:r/>
      <w:bookmarkStart w:id="45" w:name="_Toc120614221"/>
      <w:r>
        <w:rPr>
          <w:rFonts w:hint="eastAsia" w:ascii="宋体" w:hAnsi="宋体" w:eastAsia="宋体" w:cs="宋体"/>
          <w:b/>
          <w:color w:val="000000"/>
          <w:sz w:val="24"/>
          <w:szCs w:val="24"/>
          <w:highlight w:val="none"/>
        </w:rPr>
        <w:t xml:space="preserve">总则</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适用范围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本竞争性磋商文件仅适用于竞争性磋商采购邀请中所叙述项目的</w:t>
      </w:r>
      <w:r>
        <w:rPr>
          <w:rFonts w:hint="eastAsia" w:ascii="宋体" w:hAnsi="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采购。</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项目采购方式</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本次采购采取竞争性磋商的方式。</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合格的磋商供应商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3.1满足本磋商文件“竞争性磋商采购邀请”中合格磋商供应商资格要求的规定。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3.2满足本磋商文件实质性要求和条件的规定。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参加磋商费用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4.1参加磋商供应商应自行承担所有与参加磋商有关的费用。不论最终的成交结果如何，采购人或采购代理机构在任何情况下均无义务和责任承担这些费用。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4.2本项目招标代理费由采购人支付。</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磋商文件的约束力</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numPr>
          <w:ilvl w:val="0"/>
          <w:numId w:val="5"/>
        </w:num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46" w:name="_Toc20823283"/>
      <w:r/>
      <w:bookmarkStart w:id="47" w:name="_Toc462564070"/>
      <w:r/>
      <w:bookmarkStart w:id="48" w:name="_Toc16938527"/>
      <w:r/>
      <w:bookmarkStart w:id="49" w:name="_Toc513029211"/>
      <w:r>
        <w:rPr>
          <w:rFonts w:hint="eastAsia" w:ascii="宋体" w:hAnsi="宋体" w:eastAsia="宋体" w:cs="宋体"/>
          <w:color w:val="000000"/>
          <w:sz w:val="24"/>
          <w:szCs w:val="24"/>
          <w:highlight w:val="none"/>
        </w:rPr>
        <w:t xml:space="preserve">磋商文件的澄清</w:t>
      </w:r>
      <w:bookmarkEnd w:id="46"/>
      <w:r/>
      <w:bookmarkEnd w:id="47"/>
      <w:r/>
      <w:bookmarkEnd w:id="48"/>
      <w:r/>
      <w:bookmarkEnd w:id="49"/>
      <w:r>
        <w:rPr>
          <w:rFonts w:hint="eastAsia" w:ascii="宋体" w:hAnsi="宋体" w:eastAsia="宋体" w:cs="宋体"/>
          <w:color w:val="000000"/>
          <w:sz w:val="24"/>
          <w:szCs w:val="24"/>
          <w:highlight w:val="none"/>
        </w:rPr>
        <w:t xml:space="preserve">及修改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6.2供应商应及时登录“苏采云”系统获取澄清答疑文件（修改后磋商文件），如因供应商原因未能及时下载澄清和修改后的磋商文件，由此造成的相关责任，由供应商自行承担。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6.3采购代理机构可以视采购项目的具体情况，组织供应商进行现场考察或召开磋商前答疑会，但不单独或分别组织只有一个供应商参加的现场考察和答疑会。</w:t>
      </w:r>
      <w:bookmarkStart w:id="50" w:name="_Hlt26668969"/>
      <w:r/>
      <w:bookmarkEnd w:id="50"/>
      <w:r/>
      <w:bookmarkStart w:id="51" w:name="_Hlt26670345"/>
      <w:r/>
      <w:bookmarkEnd w:id="51"/>
      <w:r/>
      <w:bookmarkStart w:id="52" w:name="_Hlt26954832"/>
      <w:r/>
      <w:bookmarkEnd w:id="52"/>
      <w:r/>
      <w:bookmarkStart w:id="53" w:name="_Hlt26670354"/>
      <w:r/>
      <w:bookmarkEnd w:id="53"/>
      <w:r/>
      <w:bookmarkStart w:id="54" w:name="_Hlt26954828"/>
      <w:r/>
      <w:bookmarkEnd w:id="54"/>
      <w:r/>
      <w:bookmarkStart w:id="55" w:name="_Hlt26670348"/>
      <w:r/>
      <w:bookmarkEnd w:id="55"/>
      <w:r/>
      <w:bookmarkStart w:id="56" w:name="_Hlt26954830"/>
      <w:r/>
      <w:bookmarkEnd w:id="56"/>
      <w:r/>
      <w:bookmarkStart w:id="57" w:name="_Toc513029213"/>
      <w:r/>
      <w:bookmarkStart w:id="58" w:name="_Toc14577351"/>
      <w:r/>
      <w:bookmarkStart w:id="59" w:name="_Toc462564072"/>
      <w:r/>
      <w:bookmarkStart w:id="60" w:name="_Toc61149553"/>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二、磋商响应文件的编制</w:t>
      </w:r>
      <w:bookmarkEnd w:id="57"/>
      <w:r/>
      <w:bookmarkEnd w:id="58"/>
      <w:r/>
      <w:bookmarkEnd w:id="59"/>
      <w:r/>
      <w:bookmarkEnd w:id="60"/>
      <w:r>
        <w:rPr>
          <w:rFonts w:hint="eastAsia" w:ascii="宋体" w:hAnsi="宋体" w:eastAsia="宋体" w:cs="宋体"/>
          <w:b/>
          <w:color w:val="000000"/>
          <w:sz w:val="24"/>
          <w:szCs w:val="24"/>
          <w:highlight w:val="none"/>
        </w:rPr>
        <w:t xml:space="preserve">及保证金收取</w:t>
      </w:r>
      <w:bookmarkStart w:id="61" w:name="_Toc14577361"/>
      <w:r/>
      <w:bookmarkEnd w:id="61"/>
      <w:r/>
      <w:bookmarkStart w:id="62" w:name="_Toc61149561"/>
      <w:r/>
      <w:bookmarkEnd w:id="62"/>
      <w:r/>
      <w:bookmarkStart w:id="63" w:name="_Toc513029223"/>
      <w:r/>
      <w:bookmarkEnd w:id="63"/>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64" w:name="_Hlt26954834"/>
      <w:r/>
      <w:bookmarkEnd w:id="64"/>
      <w:r/>
      <w:bookmarkStart w:id="65" w:name="_Toc513029215"/>
      <w:r/>
      <w:bookmarkStart w:id="66" w:name="_Toc462564074"/>
      <w:r/>
      <w:bookmarkStart w:id="67" w:name="_Toc61149555"/>
      <w:r/>
      <w:bookmarkStart w:id="68" w:name="_Toc14577353"/>
      <w:r/>
      <w:bookmarkStart w:id="69" w:name="_Toc14577352"/>
      <w:r/>
      <w:bookmarkStart w:id="70" w:name="_Toc462564073"/>
      <w:r/>
      <w:bookmarkStart w:id="71" w:name="_Toc61149554"/>
      <w:r/>
      <w:bookmarkStart w:id="72" w:name="_Toc513029214"/>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响应文件</w:t>
      </w:r>
      <w:bookmarkEnd w:id="65"/>
      <w:r/>
      <w:bookmarkEnd w:id="66"/>
      <w:r/>
      <w:bookmarkEnd w:id="67"/>
      <w:r/>
      <w:bookmarkEnd w:id="68"/>
      <w:r>
        <w:rPr>
          <w:rFonts w:hint="eastAsia" w:ascii="宋体" w:hAnsi="宋体" w:eastAsia="宋体" w:cs="宋体"/>
          <w:color w:val="000000"/>
          <w:sz w:val="24"/>
          <w:szCs w:val="24"/>
          <w:highlight w:val="none"/>
        </w:rPr>
        <w:t xml:space="preserve">编制要求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1.1磋商供应商提交的响应文件以及其与采购代理机构及采购人就有关磋商的所有来往函电均应使用简体中文。磋商文件中既有中文也有外文的，以中文译意为准。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1.2除技术性能另有规定外，响应文件所使用的度量衡单位，均须采用国家法定计量单位。</w:t>
      </w:r>
      <w:bookmarkEnd w:id="69"/>
      <w:r/>
      <w:bookmarkEnd w:id="70"/>
      <w:r/>
      <w:bookmarkEnd w:id="71"/>
      <w:r/>
      <w:bookmarkEnd w:id="72"/>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73" w:name="_Hlt26954836"/>
      <w:r/>
      <w:bookmarkEnd w:id="73"/>
      <w:r/>
      <w:bookmarkStart w:id="74" w:name="_Hlt26670357"/>
      <w:r/>
      <w:bookmarkEnd w:id="74"/>
      <w:r/>
      <w:bookmarkStart w:id="75" w:name="_Toc14577357"/>
      <w:r/>
      <w:bookmarkStart w:id="76" w:name="_Toc61149558"/>
      <w:r/>
      <w:bookmarkStart w:id="77" w:name="_Toc513029219"/>
      <w:r/>
      <w:bookmarkStart w:id="78" w:name="_Toc513029217"/>
      <w:r/>
      <w:bookmarkStart w:id="79" w:name="_Toc14577355"/>
      <w:r/>
      <w:bookmarkStart w:id="80" w:name="_Toc61149557"/>
      <w:r>
        <w:rPr>
          <w:rFonts w:hint="eastAsia" w:ascii="宋体" w:hAnsi="宋体" w:eastAsia="宋体" w:cs="宋体"/>
          <w:color w:val="000000"/>
          <w:sz w:val="24"/>
          <w:szCs w:val="24"/>
          <w:highlight w:val="none"/>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2.响应文件构成</w:t>
      </w:r>
      <w:bookmarkEnd w:id="75"/>
      <w:r/>
      <w:bookmarkEnd w:id="76"/>
      <w:r/>
      <w:bookmarkEnd w:id="77"/>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u w:val="single"/>
        </w:rPr>
      </w:pPr>
      <w:r/>
      <w:bookmarkStart w:id="81" w:name="_Hlt26668999"/>
      <w:r/>
      <w:bookmarkEnd w:id="81"/>
      <w:r>
        <w:rPr>
          <w:rFonts w:hint="eastAsia" w:ascii="宋体" w:hAnsi="宋体" w:eastAsia="宋体" w:cs="宋体"/>
          <w:b/>
          <w:bCs/>
          <w:color w:val="000000"/>
          <w:sz w:val="24"/>
          <w:szCs w:val="24"/>
          <w:highlight w:val="none"/>
          <w:u w:val="single"/>
        </w:rPr>
        <w:t xml:space="preserve">“★”是指实质性要求条款，加★项目若有缺失或无效，将导致该响应文件作无效响应文件评定，且不允许在磋商截止时间后补正。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磋商供应商编写的响应文件应包括下列部分：</w:t>
      </w:r>
      <w:r/>
    </w:p>
    <w:p>
      <w:pPr>
        <w:pStyle w:val="908"/>
        <w:ind w:firstLine="480"/>
        <w:keepLines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zh-CN"/>
        </w:rPr>
        <w:t xml:space="preserve">资格证明文件</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★（1）具有独立承担民事责任的能力（提供法人或者其他组织的营业执照，自然人的身份证明）；</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★（2）具有良好的商业信誉和健全的财务会计制度（提供近三个月中任意一个月份（不含</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val="zh-CN"/>
        </w:rPr>
        <w:t xml:space="preserve">当月）的财务状况报告（含资产负债表和利润表）或会计师事务所出具的近两年中任意一个年度的财务审计报告）；</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★（3）具有履行合同所必需的设备和专业技术能力（详见响应文件格式）；</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★（4）有依法缴纳税收和社会保障资金的良好记录（提供近三个月中任意一个月份（不含</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val="zh-CN"/>
        </w:rPr>
        <w:t xml:space="preserve">当月）的依法缴纳税收和社会保障资金的相关材料）；</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★（5）参加政府采购活动前三年内，在经营活动中没有重大违法记录（详见响应文件格式）；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★（6）企业资质证书及安全生产许可证（提供有效的证书</w:t>
      </w:r>
      <w:r>
        <w:rPr>
          <w:rFonts w:hint="eastAsia" w:ascii="宋体" w:hAnsi="宋体" w:eastAsia="宋体" w:cs="宋体"/>
          <w:b w:val="0"/>
          <w:bCs w:val="0"/>
          <w:color w:val="000000"/>
          <w:sz w:val="24"/>
          <w:szCs w:val="24"/>
          <w:highlight w:val="none"/>
        </w:rPr>
        <w:t xml:space="preserve">并</w:t>
      </w:r>
      <w:r>
        <w:rPr>
          <w:rFonts w:hint="eastAsia" w:ascii="宋体" w:hAnsi="宋体" w:eastAsia="宋体" w:cs="宋体"/>
          <w:b w:val="0"/>
          <w:bCs w:val="0"/>
          <w:color w:val="000000"/>
          <w:sz w:val="24"/>
          <w:szCs w:val="24"/>
          <w:highlight w:val="none"/>
          <w:lang w:val="zh-CN"/>
        </w:rPr>
        <w:t xml:space="preserve">加盖单位公章）；</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val="zh-CN"/>
        </w:rPr>
        <w:t xml:space="preserve">）拟派项目</w:t>
      </w:r>
      <w:r>
        <w:rPr>
          <w:rFonts w:hint="eastAsia" w:ascii="宋体" w:hAnsi="宋体" w:eastAsia="宋体" w:cs="宋体"/>
          <w:b w:val="0"/>
          <w:bCs w:val="0"/>
          <w:color w:val="000000"/>
          <w:sz w:val="24"/>
          <w:szCs w:val="24"/>
          <w:highlight w:val="none"/>
          <w:lang w:val="en-US" w:eastAsia="zh-CN"/>
        </w:rPr>
        <w:t xml:space="preserve">负责人</w:t>
      </w:r>
      <w:r>
        <w:rPr>
          <w:rFonts w:hint="eastAsia" w:ascii="宋体" w:hAnsi="宋体" w:eastAsia="宋体" w:cs="宋体"/>
          <w:b w:val="0"/>
          <w:bCs w:val="0"/>
          <w:color w:val="000000"/>
          <w:sz w:val="24"/>
          <w:szCs w:val="24"/>
          <w:highlight w:val="none"/>
          <w:lang w:val="zh-CN"/>
        </w:rPr>
        <w:t xml:space="preserve">建造师证书（提供有效的证书</w:t>
      </w:r>
      <w:r>
        <w:rPr>
          <w:rFonts w:hint="eastAsia" w:ascii="宋体" w:hAnsi="宋体" w:eastAsia="宋体" w:cs="宋体"/>
          <w:b w:val="0"/>
          <w:bCs w:val="0"/>
          <w:color w:val="000000"/>
          <w:sz w:val="24"/>
          <w:szCs w:val="24"/>
          <w:highlight w:val="none"/>
        </w:rPr>
        <w:t xml:space="preserve">并</w:t>
      </w:r>
      <w:r>
        <w:rPr>
          <w:rFonts w:hint="eastAsia" w:ascii="宋体" w:hAnsi="宋体" w:eastAsia="宋体" w:cs="宋体"/>
          <w:b w:val="0"/>
          <w:bCs w:val="0"/>
          <w:color w:val="000000"/>
          <w:sz w:val="24"/>
          <w:szCs w:val="24"/>
          <w:highlight w:val="none"/>
          <w:lang w:val="zh-CN"/>
        </w:rPr>
        <w:t xml:space="preserve">加盖单位公章）；</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lang w:val="zh-CN"/>
        </w:rPr>
        <w:t xml:space="preserve">）拟派项目</w:t>
      </w:r>
      <w:r>
        <w:rPr>
          <w:rFonts w:hint="eastAsia" w:ascii="宋体" w:hAnsi="宋体" w:eastAsia="宋体" w:cs="宋体"/>
          <w:b w:val="0"/>
          <w:bCs w:val="0"/>
          <w:color w:val="000000"/>
          <w:sz w:val="24"/>
          <w:szCs w:val="24"/>
          <w:highlight w:val="none"/>
          <w:lang w:val="en-US" w:eastAsia="zh-CN"/>
        </w:rPr>
        <w:t xml:space="preserve">负责人安全生产考核合格证书</w:t>
      </w:r>
      <w:r>
        <w:rPr>
          <w:rFonts w:hint="eastAsia" w:ascii="宋体" w:hAnsi="宋体" w:eastAsia="宋体" w:cs="宋体"/>
          <w:b w:val="0"/>
          <w:bCs w:val="0"/>
          <w:color w:val="000000"/>
          <w:sz w:val="24"/>
          <w:szCs w:val="24"/>
          <w:highlight w:val="none"/>
          <w:lang w:val="zh-CN"/>
        </w:rPr>
        <w:t xml:space="preserve">（提供有效的证书</w:t>
      </w:r>
      <w:r>
        <w:rPr>
          <w:rFonts w:hint="eastAsia" w:ascii="宋体" w:hAnsi="宋体" w:eastAsia="宋体" w:cs="宋体"/>
          <w:b w:val="0"/>
          <w:bCs w:val="0"/>
          <w:color w:val="000000"/>
          <w:sz w:val="24"/>
          <w:szCs w:val="24"/>
          <w:highlight w:val="none"/>
        </w:rPr>
        <w:t xml:space="preserve">并</w:t>
      </w:r>
      <w:r>
        <w:rPr>
          <w:rFonts w:hint="eastAsia" w:ascii="宋体" w:hAnsi="宋体" w:eastAsia="宋体" w:cs="宋体"/>
          <w:b w:val="0"/>
          <w:bCs w:val="0"/>
          <w:color w:val="000000"/>
          <w:sz w:val="24"/>
          <w:szCs w:val="24"/>
          <w:highlight w:val="none"/>
          <w:lang w:val="zh-CN"/>
        </w:rPr>
        <w:t xml:space="preserve">加盖单位公章）；</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）项目负责人不得同时在两个或者两个以上单位受聘或者执业，仅限于以下情形：（符合并提供承诺书，详见响应文件格式）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①同时在两个及以上单位签订劳动合同或缴纳社会保险；</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②将本人执（职）业资格证书同时注册在两个及以上单位；</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③在其他企业担任法定代表人。</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zh-CN"/>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b w:val="0"/>
          <w:bCs w:val="0"/>
          <w:color w:val="000000"/>
          <w:sz w:val="24"/>
          <w:szCs w:val="24"/>
          <w:highlight w:val="none"/>
          <w:lang w:val="zh-CN"/>
        </w:rPr>
        <w:t xml:space="preserve">且</w:t>
      </w:r>
      <w:r>
        <w:rPr>
          <w:rFonts w:hint="eastAsia" w:ascii="宋体" w:hAnsi="宋体" w:eastAsia="宋体" w:cs="宋体"/>
          <w:b w:val="0"/>
          <w:bCs w:val="0"/>
          <w:color w:val="000000"/>
          <w:sz w:val="24"/>
          <w:szCs w:val="24"/>
          <w:highlight w:val="none"/>
          <w:lang w:val="zh-CN"/>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）拒绝下述供应商参加本次采购活动:（符合并提供承诺书，详见响应文件格式）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1）被“信用中国”网站(www.creditchina.gov.cn)列入失信被执行人，重大税收违法失信主体、政府采购严重违法失信行为记录名单的；</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2）供应商单位负责人为同一人或者存在直接控股、管理关系的不同供应商，不得参加同一合同项下的政府采购活动；</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3）为采购项目提供整体设计、规范编制或者项目管理、监理、检测等服务的供应商，不得再参加该采购项目的其他采购活动。</w:t>
      </w:r>
      <w:r/>
    </w:p>
    <w:p>
      <w:pPr>
        <w:ind w:firstLine="482"/>
        <w:jc w:val="left"/>
        <w:keepLines w:val="0"/>
        <w:pageBreakBefore w:val="0"/>
        <w:spacing w:line="360" w:lineRule="auto"/>
        <w:widowControl/>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中小企业声明函</w:t>
      </w:r>
      <w:r>
        <w:rPr>
          <w:rFonts w:hint="eastAsia" w:ascii="宋体" w:hAnsi="宋体" w:cs="宋体"/>
          <w:b w:val="0"/>
          <w:bCs w:val="0"/>
          <w:color w:val="000000"/>
          <w:sz w:val="24"/>
          <w:szCs w:val="24"/>
          <w:highlight w:val="none"/>
          <w:lang w:val="en-US" w:eastAsia="zh-CN"/>
        </w:rPr>
        <w:t xml:space="preserve">。</w:t>
      </w:r>
      <w:r/>
    </w:p>
    <w:p>
      <w:pPr>
        <w:pStyle w:val="908"/>
        <w:ind w:firstLine="482"/>
        <w:keepLines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2.2商务和技术文件</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（1）★磋商响应函；</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（2）★磋商报价表；</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（3）★法定代表人资格证明；</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（4）★授权委托书；</w:t>
      </w:r>
      <w:r/>
    </w:p>
    <w:p>
      <w:pPr>
        <w:pStyle w:val="908"/>
        <w:ind w:firstLine="480"/>
        <w:keepLines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（5）★承诺书；</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（6）★技术偏离表；</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（7）★商务偏离表；</w:t>
      </w:r>
      <w:r/>
    </w:p>
    <w:p>
      <w:pPr>
        <w:pStyle w:val="908"/>
        <w:ind w:left="0" w:firstLine="480"/>
        <w:keepLines w:val="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分项报价明细表；（格式见工程量清单）</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）企业业绩；</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）拟投入人员配备一览表；</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）技术方案；</w:t>
      </w:r>
      <w:r/>
    </w:p>
    <w:p>
      <w:pPr>
        <w:pStyle w:val="908"/>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）供应商认为应当提交的其他材料。 </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磋商响应报价</w:t>
      </w:r>
      <w:bookmarkEnd w:id="78"/>
      <w:r/>
      <w:bookmarkEnd w:id="79"/>
      <w:r/>
      <w:bookmarkStart w:id="82" w:name="_Hlt26670373"/>
      <w:r/>
      <w:bookmarkEnd w:id="82"/>
      <w:r>
        <w:rPr>
          <w:rFonts w:hint="eastAsia" w:ascii="宋体" w:hAnsi="宋体" w:eastAsia="宋体" w:cs="宋体"/>
          <w:color w:val="000000"/>
          <w:sz w:val="24"/>
          <w:szCs w:val="24"/>
          <w:highlight w:val="none"/>
        </w:rPr>
        <w:t xml:space="preserve">表</w:t>
      </w:r>
      <w:bookmarkEnd w:id="80"/>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3.1磋商供应商应按照磋商文件规定格式填报磋商响应报价。每项服务、工程只允许有一个报价，任何有选择的报价将不予接受，磋商文件中另有规定的按规定执行。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3.2标的物</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详见项目需求。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3.3有关费用处理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本次采购磋商供应商的总报价应包括为完成本项目发生的所有费用，本磋商文件中另有规定的除外。磋商文件未列明，而磋商供应商认为必需的费用也须列入报价。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3.4报价采用的货币</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响应文件中的单价和总价，无特殊规定的采用人民币报价，以元为单位标注。磋商文件中另有规定的按规定执行。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83" w:name="_Toc513029224"/>
      <w:r/>
      <w:bookmarkStart w:id="84" w:name="_Toc14577362"/>
      <w:r/>
      <w:bookmarkStart w:id="85" w:name="_Toc61149562"/>
      <w:r>
        <w:rPr>
          <w:rFonts w:hint="eastAsia" w:ascii="宋体" w:hAnsi="宋体" w:eastAsia="宋体" w:cs="宋体"/>
          <w:color w:val="000000"/>
          <w:sz w:val="24"/>
          <w:szCs w:val="24"/>
          <w:highlight w:val="none"/>
        </w:rPr>
        <w:t xml:space="preserve">4.磋商保证金：本项目依据苏财购【2020】52号文件精神，本项目免收投标保证金。</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5.履约保证金：</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5.1签订合同前，成交供应商应按竞争性磋商文件规定向采购人提交履约保证金。</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5.2签订合同后，如成交供应商不按合同履行约定的，则其全部履约保证金不予退还，履约保证金不足以赔偿损失的，按实际损失赔偿。</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5.3履约保证金金额：成交金额的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履约保证金的递交：签订合同时递交，采用支票、汇票、本票或者金融机构、担保机构出具的保函、保证保险等非现金形式；</w:t>
      </w:r>
      <w:r/>
    </w:p>
    <w:p>
      <w:pPr>
        <w:ind w:firstLine="480"/>
        <w:keepLines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履约保证金退还时间：履约保证金在服务期满后扣除成交供应商违约金罚金等费用后，无息返还剩余的履约保证金</w:t>
      </w:r>
      <w:r>
        <w:rPr>
          <w:rFonts w:hint="eastAsia" w:ascii="宋体" w:hAnsi="宋体" w:eastAsia="宋体" w:cs="宋体"/>
          <w:color w:val="000000"/>
          <w:sz w:val="24"/>
          <w:szCs w:val="24"/>
          <w:highlight w:val="none"/>
          <w:lang w:eastAsia="zh-CN"/>
        </w:rPr>
        <w:t xml:space="preserve">。</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三、响应文件的递交</w:t>
      </w:r>
      <w:bookmarkEnd w:id="83"/>
      <w:r/>
      <w:bookmarkEnd w:id="84"/>
      <w:r/>
      <w:bookmarkEnd w:id="85"/>
      <w:r/>
      <w:r/>
    </w:p>
    <w:p>
      <w:pPr>
        <w:ind w:firstLine="480"/>
        <w:keepLines w:val="0"/>
        <w:pageBreakBefore w:val="0"/>
        <w:spacing w:line="360" w:lineRule="auto"/>
        <w:rPr>
          <w:rFonts w:hint="eastAsia" w:ascii="宋体" w:hAnsi="宋体" w:eastAsia="宋体" w:cs="宋体"/>
          <w:color w:val="000000"/>
          <w:sz w:val="24"/>
          <w:szCs w:val="24"/>
          <w:highlight w:val="none"/>
        </w:rPr>
      </w:pPr>
      <w:r/>
      <w:bookmarkStart w:id="86" w:name="_Hlt26954856"/>
      <w:r/>
      <w:bookmarkEnd w:id="86"/>
      <w:r/>
      <w:bookmarkStart w:id="87" w:name="_Toc462564084"/>
      <w:r/>
      <w:bookmarkStart w:id="88" w:name="_Toc14577363"/>
      <w:r/>
      <w:bookmarkStart w:id="89" w:name="_Toc61149563"/>
      <w:r/>
      <w:bookmarkStart w:id="90" w:name="_Toc513029225"/>
      <w:r>
        <w:rPr>
          <w:rFonts w:hint="eastAsia" w:ascii="宋体" w:hAnsi="宋体" w:eastAsia="宋体" w:cs="宋体"/>
          <w:color w:val="000000"/>
          <w:sz w:val="24"/>
          <w:szCs w:val="24"/>
          <w:highlight w:val="none"/>
        </w:rPr>
        <w:t xml:space="preserve">1.电子磋商响应文件的递交</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通过“苏采云”系统进行电子招标投标，即供应商应当按照《操作手册》规定，在磋商响应文件递交截止时间前制作并上传电子响应文件。未进行响应文件提交并解密的供应商，按照无效响应处理(因“苏采云”系统导致解密失败的除外)。</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1.2政府采购管理交易系统（苏采云）相关要求是本采购文件的组成部分。</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投标人操作手册》。网址链接：</w:t>
      </w:r>
      <w:r/>
    </w:p>
    <w:p>
      <w:pPr>
        <w:pStyle w:val="947"/>
        <w:ind w:firstLine="60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http://www.ccgp</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jiangsu.gov.cn/jiangsu/zlxz/ee/ee3a4bc5a3454aa2b0d9312230633ce9.html</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1.4供应商应对CA证书妥善保管，如被他人盗用投标，因此带来的后果均由供应商自行承担。</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1.5响应文件须加盖电子签章之处，应按要求加盖供应商数字证书的电子签章。其他需要盖章但未明确要求电子签章的，供应商可按要求加盖公章后上传材料电子件或直接加盖电子签章。</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1.6如标书制作工具中格式和内容与“江苏政府采购网”发布的磋商文件不一致，请以“江苏政府采购网”发布的磋商文件为准。</w:t>
      </w:r>
      <w:bookmarkEnd w:id="87"/>
      <w:r/>
      <w:bookmarkEnd w:id="88"/>
      <w:r/>
      <w:bookmarkEnd w:id="89"/>
      <w:r/>
      <w:bookmarkEnd w:id="90"/>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2.1供应商上传电子响应文件的时间不得迟于磋商公告中规定的提交响应文件截止时间。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3.响应文件的拒收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采购代理机构拒绝接收在其规定的提交响应文件截止时间后上传的任何电子响应文件。供应商应将电子响应文件上传至“苏采云”系统对应的本次磋商包中，未及时上传的，采购人不予受理。响应文件提交截止时间后，供应商对投标报价或其他实质性内容修正的函件和增加的任何优惠条件，一律拒绝接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4.响应文件的撤回和修改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4.1.1电子响应文件的撤回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4.1.2供应商撤回电子响应文件，则认为其不再参与本项目磋商活动。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4.2响应文件的修改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4.2.1供应商可在提交响应文件截止时间前，对其电子响应文件进行修改，具体操作方法见《操作手册》。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4.2.2在提交响应文件截止时间之后，供应商不得对其电子响应文件作任何修改。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4.3在提交响应文件截止时间至磋商文件中规定的磋商有效期满之间的这段时间内，供应商不得撤回其响应文件。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5.1供应商应当按照《“苏采云”系统供应商操作手册》规定，参加磋商活动和在苏采云系统规定的时间内对磋商响应文件进行解密。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6磋商响应有效期</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6.1磋商响应有效期为采购代理机构规定的响应文件提交截止时间后九十（90）天。</w:t>
      </w:r>
      <w:r>
        <w:rPr>
          <w:rFonts w:hint="eastAsia" w:ascii="宋体" w:hAnsi="宋体" w:eastAsia="宋体" w:cs="宋体"/>
          <w:color w:val="000000"/>
          <w:sz w:val="24"/>
          <w:szCs w:val="24"/>
          <w:highlight w:val="none"/>
        </w:rPr>
        <w:t xml:space="preserve">供应商声明的磋商响应有效期比规定短的将被视为非实质性响应而予以拒绝；供应商就磋商响应有效期不作说明的视同认可本条款设定的磋商响应有效期。</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6.2在特殊情况下，采购代理机构于原磋商响应有效期满之前可向磋商供应商提出延长磋商响应有效期的要求。</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bookmarkStart w:id="91" w:name="_Hlt26670523"/>
      <w:r/>
      <w:bookmarkEnd w:id="91"/>
      <w:r/>
      <w:bookmarkStart w:id="92" w:name="_Hlt26954864"/>
      <w:r/>
      <w:bookmarkEnd w:id="92"/>
      <w:r>
        <w:rPr>
          <w:rFonts w:hint="eastAsia" w:ascii="宋体" w:hAnsi="宋体" w:eastAsia="宋体" w:cs="宋体"/>
          <w:b/>
          <w:color w:val="000000"/>
          <w:sz w:val="24"/>
          <w:szCs w:val="24"/>
          <w:highlight w:val="none"/>
        </w:rPr>
        <w:t xml:space="preserve">四、磋商与评审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93" w:name="_Toc20823303"/>
      <w:r/>
      <w:bookmarkStart w:id="94" w:name="_Toc16938547"/>
      <w:r/>
      <w:bookmarkStart w:id="95" w:name="_Toc513029231"/>
      <w:r>
        <w:rPr>
          <w:rFonts w:hint="eastAsia" w:ascii="宋体" w:hAnsi="宋体" w:eastAsia="宋体" w:cs="宋体"/>
          <w:color w:val="000000"/>
          <w:sz w:val="24"/>
          <w:szCs w:val="24"/>
          <w:highlight w:val="none"/>
        </w:rPr>
        <w:t xml:space="preserve">1.磋商小组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1.1磋商会议结束后，采购代理机构将组织磋商小组进行评审。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1.2采购代理机构及采购人将根据本采购项目的特点组建磋商小组，由三人以上（含三人）单数组成，将对实质性响应报价文件要求的报价文件进行评价和比较，并采用相同的程序和标准。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2.磋商评审过程的保密</w:t>
      </w:r>
      <w:bookmarkEnd w:id="93"/>
      <w:r/>
      <w:bookmarkEnd w:id="94"/>
      <w:r/>
      <w:bookmarkEnd w:id="95"/>
      <w:r>
        <w:rPr>
          <w:rFonts w:hint="eastAsia" w:ascii="宋体" w:hAnsi="宋体" w:eastAsia="宋体" w:cs="宋体"/>
          <w:color w:val="000000"/>
          <w:sz w:val="24"/>
          <w:szCs w:val="24"/>
          <w:highlight w:val="none"/>
        </w:rPr>
        <w:t xml:space="preserve">与公正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2.1磋商小组、采购人和采购代理机构工作人员、相关监督人员等与评审工作有关的人员，对评审情况以及在评审过程中获悉的国家秘密、商业秘密负有保密责任。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2.2在磋商评审过程中，磋商供应商不得以任何行为影响磋商评审过程否则其响应文件将被视为无效响应文件。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2.3磋商小组成员应当按照客观、公正、审慎的原则，根据磋商文件规定的评审程序、评审方法和评审标准进行独立评审。未实质性响应磋商文件的响应文件按无效响应处理。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96" w:name="_Toc16938548"/>
      <w:r/>
      <w:bookmarkStart w:id="97" w:name="_Toc513029232"/>
      <w:r/>
      <w:bookmarkStart w:id="98" w:name="_Toc20823304"/>
      <w:r>
        <w:rPr>
          <w:rFonts w:hint="eastAsia" w:ascii="宋体" w:hAnsi="宋体" w:eastAsia="宋体" w:cs="宋体"/>
          <w:color w:val="000000"/>
          <w:sz w:val="24"/>
          <w:szCs w:val="24"/>
          <w:highlight w:val="none"/>
        </w:rPr>
        <w:t xml:space="preserve">3.评审过程的澄清</w:t>
      </w:r>
      <w:bookmarkEnd w:id="96"/>
      <w:r/>
      <w:bookmarkEnd w:id="97"/>
      <w:r/>
      <w:bookmarkEnd w:id="98"/>
      <w:r>
        <w:rPr>
          <w:rFonts w:hint="eastAsia" w:ascii="宋体" w:hAnsi="宋体" w:eastAsia="宋体" w:cs="宋体"/>
          <w:color w:val="000000"/>
          <w:sz w:val="24"/>
          <w:szCs w:val="24"/>
          <w:highlight w:val="none"/>
        </w:rPr>
        <w:t xml:space="preserve">、说明和更正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.3接到磋商小组澄清要求的供应商如未按规定作出澄清，其风险由供应商自行承担。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99" w:name="_Toc20823305"/>
      <w:r/>
      <w:bookmarkStart w:id="100" w:name="_Toc16938549"/>
      <w:r/>
      <w:bookmarkStart w:id="101" w:name="_Toc513029233"/>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对响应文件的初审</w:t>
      </w:r>
      <w:bookmarkEnd w:id="99"/>
      <w:r/>
      <w:bookmarkEnd w:id="100"/>
      <w:r/>
      <w:bookmarkEnd w:id="101"/>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.1响应文件审查分为资格性检查和符合性检查。</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资格性检查：依据法律法规和磋商文件的规定，对首次响应文件中的资格证明文件等进行审查，以确定供应商是否具备参加磋商的资格。</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磋商小组在进行资格审查的同时，将在核查供应商的动态资质，以确定供应商是否具备磋商资格,查询结果留存并归档。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.2在正式磋商之前，磋商小组将首先审查每份响应文件是否实质性响应了磋商文件的要求。实质性响应的响应文件应该是与磋商文件要求的条款、条件和规格相符，没有重大偏离或保留。</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.3被认定为非响应性的响应文件的情形</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响应文件未按规定的期限、地点送达的；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响应文件未按要求密封、签署、盖章的；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供应商的法定代表人或法定代表人授权代表，未准时参加磋商会议的；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供应商的法定代表人授权代表，无法定代表人授权委托书的；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不具备采购文件中规定的资格要求或未按采购文件规定的要求提供资格、资信证明文件的；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被“信用中国”网站（</w:t>
      </w:r>
      <w:r>
        <w:rPr>
          <w:b/>
          <w:bCs w:val="0"/>
          <w:color w:val="auto"/>
          <w:highlight w:val="none"/>
        </w:rPr>
        <w:fldChar w:fldCharType="begin"/>
      </w:r>
      <w:r>
        <w:rPr>
          <w:b/>
          <w:bCs w:val="0"/>
          <w:color w:val="auto"/>
          <w:highlight w:val="none"/>
        </w:rPr>
        <w:instrText xml:space="preserve"> HYPERLINK "http://www.creditchina.gov.cn" </w:instrText>
      </w:r>
      <w:r>
        <w:rPr>
          <w:b/>
          <w:bCs w:val="0"/>
          <w:color w:val="auto"/>
          <w:highlight w:val="none"/>
        </w:rPr>
        <w:fldChar w:fldCharType="separate"/>
      </w:r>
      <w:r>
        <w:rPr>
          <w:rFonts w:hint="eastAsia" w:ascii="宋体" w:hAnsi="宋体"/>
          <w:b/>
          <w:bCs w:val="0"/>
          <w:color w:val="auto"/>
          <w:sz w:val="24"/>
          <w:highlight w:val="none"/>
        </w:rPr>
        <w:t xml:space="preserve">www.creditchina.gov.cn</w:t>
      </w:r>
      <w:r>
        <w:rPr>
          <w:rFonts w:hint="eastAsia" w:ascii="宋体" w:hAnsi="宋体"/>
          <w:b/>
          <w:bCs w:val="0"/>
          <w:color w:val="auto"/>
          <w:sz w:val="24"/>
          <w:highlight w:val="none"/>
        </w:rPr>
        <w:fldChar w:fldCharType="end"/>
      </w:r>
      <w:r>
        <w:rPr>
          <w:rFonts w:hint="eastAsia" w:ascii="宋体" w:hAnsi="宋体"/>
          <w:b/>
          <w:bCs w:val="0"/>
          <w:color w:val="auto"/>
          <w:sz w:val="24"/>
          <w:highlight w:val="none"/>
        </w:rPr>
        <w:t xml:space="preserve">）列入失信被执行人、重大税收违法案件当事人名单、政府采购严重违法失信行为记录名单的；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响应文件未按采购文件规定的内容和要求填写的；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响应文件书写潦草、字迹模糊不清、无法辨认的；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响应文件中有采购文件未允许提供的选择性内容的；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ascii="宋体" w:hAnsi="宋体"/>
          <w:b/>
          <w:bCs w:val="0"/>
          <w:color w:val="auto"/>
          <w:sz w:val="24"/>
          <w:highlight w:val="none"/>
        </w:rPr>
        <w:t xml:space="preserve">不同</w:t>
      </w:r>
      <w:r>
        <w:rPr>
          <w:rFonts w:hint="eastAsia" w:ascii="宋体" w:hAnsi="宋体"/>
          <w:b/>
          <w:bCs w:val="0"/>
          <w:color w:val="auto"/>
          <w:sz w:val="24"/>
          <w:highlight w:val="none"/>
        </w:rPr>
        <w:t xml:space="preserve">供应商</w:t>
      </w:r>
      <w:r>
        <w:rPr>
          <w:rFonts w:ascii="宋体" w:hAnsi="宋体"/>
          <w:b/>
          <w:bCs w:val="0"/>
          <w:color w:val="auto"/>
          <w:sz w:val="24"/>
          <w:highlight w:val="none"/>
        </w:rPr>
        <w:t xml:space="preserve">委托同一单位或者个人办理</w:t>
      </w:r>
      <w:r>
        <w:rPr>
          <w:rFonts w:hint="eastAsia" w:ascii="宋体" w:hAnsi="宋体"/>
          <w:b/>
          <w:bCs w:val="0"/>
          <w:color w:val="auto"/>
          <w:sz w:val="24"/>
          <w:highlight w:val="none"/>
        </w:rPr>
        <w:t xml:space="preserve">磋商</w:t>
      </w:r>
      <w:r>
        <w:rPr>
          <w:rFonts w:ascii="宋体" w:hAnsi="宋体"/>
          <w:b/>
          <w:bCs w:val="0"/>
          <w:color w:val="auto"/>
          <w:sz w:val="24"/>
          <w:highlight w:val="none"/>
        </w:rPr>
        <w:t xml:space="preserve">事宜</w:t>
      </w:r>
      <w:r>
        <w:rPr>
          <w:rFonts w:hint="eastAsia" w:ascii="宋体" w:hAnsi="宋体"/>
          <w:b/>
          <w:bCs w:val="0"/>
          <w:color w:val="auto"/>
          <w:sz w:val="24"/>
          <w:highlight w:val="none"/>
        </w:rPr>
        <w:t xml:space="preserve">的</w:t>
      </w:r>
      <w:r>
        <w:rPr>
          <w:rFonts w:ascii="宋体" w:hAnsi="宋体"/>
          <w:b/>
          <w:bCs w:val="0"/>
          <w:color w:val="auto"/>
          <w:sz w:val="24"/>
          <w:highlight w:val="none"/>
        </w:rPr>
        <w:t xml:space="preserve">；</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不同供应商的单位负责人为同一人或者存在直接控股、管理关系的；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不同供应商响应文件内容存在非正常一致、项目组成员出现同一人、响应文件中错误（或异常）一致或雷同、电子文档信息一致或雷同的、报价呈规律性差异的；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不同供应商的磋商资料相互混装、不同供应商的委托代理人、项目负责人以及其他相关人员有在同一个单位缴纳社会保险、同一响应文件中单位名称落款与公章不是同一单位的；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项目（标段）总报价超过本项目（标段）预算或最高限价的，最终报价高于首次报价；</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提供虚假材料的（包括工商营业执照、财务报表、资格证明文件等）；</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磋商小组认定供应商报价明显不合理，有可能影响商品质量和不能诚信履约的；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除单一来源采购项目外，为采购项目提供整体设计、规范编制或者项目管理、监理、检测等服务的；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响应文件内容不全或不符合采购文件中规定</w:t>
      </w:r>
      <w:r>
        <w:rPr>
          <w:rFonts w:hint="eastAsia" w:ascii="宋体" w:hAnsi="宋体"/>
          <w:b/>
          <w:bCs w:val="0"/>
          <w:color w:val="auto"/>
          <w:sz w:val="24"/>
          <w:highlight w:val="none"/>
          <w:lang w:eastAsia="zh-CN"/>
        </w:rPr>
        <w:t xml:space="preserve">的其他</w:t>
      </w:r>
      <w:r>
        <w:rPr>
          <w:rFonts w:hint="eastAsia" w:ascii="宋体" w:hAnsi="宋体"/>
          <w:b/>
          <w:bCs w:val="0"/>
          <w:color w:val="auto"/>
          <w:sz w:val="24"/>
          <w:highlight w:val="none"/>
        </w:rPr>
        <w:t xml:space="preserve">实质性要求的；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降低不可竞争费用标准的；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改变或遗漏采购文件（含工程量清单、招标控制价）中规定的暂列金额、暂估价、采购人自行采购材料单价或数量的；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改变采购文件（含工程量清单、招标控制价）提供的工程量清单中的项目编码、项目名称、项目特征、计量单位、工程量的；</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供应商已标价工程量清单中综合单价不得出现0和负数；</w:t>
      </w:r>
      <w:r/>
    </w:p>
    <w:p>
      <w:pPr>
        <w:pStyle w:val="1011"/>
        <w:numPr>
          <w:ilvl w:val="0"/>
          <w:numId w:val="6"/>
        </w:numPr>
        <w:ind w:left="0" w:firstLine="425"/>
        <w:jc w:val="left"/>
        <w:keepLines w:val="0"/>
        <w:keepNext w:val="0"/>
        <w:pageBreakBefore w:val="0"/>
        <w:spacing w:line="360" w:lineRule="auto"/>
        <w:widowControl/>
        <w:tabs>
          <w:tab w:val="left" w:pos="525" w:leader="none"/>
          <w:tab w:val="left" w:pos="945" w:leader="none"/>
        </w:tabs>
        <w:rPr>
          <w:rFonts w:ascii="宋体" w:hAnsi="宋体"/>
          <w:b/>
          <w:bCs w:val="0"/>
          <w:color w:val="auto"/>
          <w:sz w:val="24"/>
          <w:highlight w:val="none"/>
        </w:rPr>
      </w:pPr>
      <w:r>
        <w:rPr>
          <w:rFonts w:hint="eastAsia" w:ascii="宋体" w:hAnsi="宋体"/>
          <w:b/>
          <w:bCs w:val="0"/>
          <w:color w:val="auto"/>
          <w:sz w:val="24"/>
          <w:highlight w:val="none"/>
        </w:rPr>
        <w:t xml:space="preserve">法律法规和采购文件规定</w:t>
      </w:r>
      <w:r>
        <w:rPr>
          <w:rFonts w:hint="eastAsia" w:ascii="宋体" w:hAnsi="宋体"/>
          <w:b/>
          <w:bCs w:val="0"/>
          <w:color w:val="auto"/>
          <w:sz w:val="24"/>
          <w:highlight w:val="none"/>
          <w:lang w:eastAsia="zh-CN"/>
        </w:rPr>
        <w:t xml:space="preserve">的其他</w:t>
      </w:r>
      <w:r>
        <w:rPr>
          <w:rFonts w:hint="eastAsia" w:ascii="宋体" w:hAnsi="宋体"/>
          <w:b/>
          <w:bCs w:val="0"/>
          <w:color w:val="auto"/>
          <w:sz w:val="24"/>
          <w:highlight w:val="none"/>
        </w:rPr>
        <w:t xml:space="preserve">无效情形。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.4如果响应文件实质上没有响应磋商文件的要求，磋商小组将予以拒绝，供应商不得通过修改或撤销不合要求的偏离或保留而使其响应文件成为实质性响应的文件。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.5磋商小组将允许修正响应文件中不构成重大负偏离的、微小的、非正规的、不一致的或不规则的地方，但这些修改不能影响任何供应商相应的名次排列。</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磋商程序及评审方法和标准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102" w:name="_Toc20823307"/>
      <w:r/>
      <w:bookmarkStart w:id="103" w:name="_Toc513029235"/>
      <w:r/>
      <w:bookmarkStart w:id="104" w:name="_Toc16938551"/>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.1磋商程序</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.1.1对于通过资格性和符合性审查的供应商，磋商小组将</w:t>
      </w:r>
      <w:r>
        <w:rPr>
          <w:rFonts w:hint="eastAsia" w:ascii="宋体" w:hAnsi="宋体" w:eastAsia="宋体" w:cs="宋体"/>
          <w:b w:val="0"/>
          <w:bCs w:val="0"/>
          <w:color w:val="000000"/>
          <w:sz w:val="24"/>
          <w:szCs w:val="24"/>
          <w:highlight w:val="none"/>
        </w:rPr>
        <w:t xml:space="preserve">集中与单一供应商在“政府采购管理交易系统（苏采云）”中分别进行磋商。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.1.2磋商文件能够详细列明采购标的的技术、服务要求的，磋商结束后，磋商小组将要求所有实质性响应的供应商在规定时间内提交最后报价。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.1.3磋商小组应当根据综合评分情况，按照评审得分由高到</w:t>
      </w:r>
      <w:r>
        <w:rPr>
          <w:rFonts w:hint="eastAsia" w:ascii="宋体" w:hAnsi="宋体" w:eastAsia="宋体" w:cs="宋体"/>
          <w:b/>
          <w:bCs/>
          <w:color w:val="000000"/>
          <w:sz w:val="24"/>
          <w:szCs w:val="24"/>
          <w:highlight w:val="none"/>
        </w:rPr>
        <w:t xml:space="preserve">低顺序推荐3名成交供应商，并编写评审报告。采购过程中符合要求的供应商（社会资本）只有2家的，根据《财政部关于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.1.4磋商供应商未在磋商小组规定的时间内完成最后报价的视为放弃磋商，其磋商响应按无效响应处理。</w:t>
      </w:r>
      <w:r>
        <w:rPr>
          <w:rFonts w:hint="eastAsia" w:ascii="宋体" w:hAnsi="宋体" w:eastAsia="宋体" w:cs="宋体"/>
          <w:b w:val="0"/>
          <w:bCs w:val="0"/>
          <w:color w:val="000000"/>
          <w:sz w:val="24"/>
          <w:szCs w:val="24"/>
          <w:highlight w:val="none"/>
        </w:rPr>
        <w:t xml:space="preserve">最后报价须加盖电子签章。已提交响应文件的供应商，在提交最后报价之前，可以根据磋商情况退出磋商。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.2评审方法和标准</w:t>
      </w:r>
      <w:r/>
    </w:p>
    <w:p>
      <w:pPr>
        <w:ind w:firstLine="482"/>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.2.1评审方法。</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.2.2评审标准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.3采购活动终止的情况</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（3）除本磋商文件第6.1.3条规定的情形外，在采购过程中符合要求的供应商或者报价未超过采购预算的供应商不足3家的。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（4）在苏采云系统规定时间内成功解密电子响应文件的供应商不足3家的。</w:t>
      </w:r>
      <w:bookmarkEnd w:id="102"/>
      <w:r/>
      <w:bookmarkEnd w:id="103"/>
      <w:r/>
      <w:bookmarkEnd w:id="104"/>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五、成交</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bookmarkStart w:id="105" w:name="_Toc513029238"/>
      <w:r/>
      <w:bookmarkStart w:id="106" w:name="_Toc20823310"/>
      <w:r/>
      <w:bookmarkStart w:id="107" w:name="_Toc16938554"/>
      <w:r>
        <w:rPr>
          <w:rFonts w:hint="eastAsia" w:ascii="宋体" w:hAnsi="宋体" w:cs="宋体"/>
          <w:color w:val="000000"/>
          <w:sz w:val="24"/>
          <w:szCs w:val="24"/>
          <w:highlight w:val="none"/>
          <w:lang w:eastAsia="zh-CN"/>
        </w:rPr>
        <w:t xml:space="preserve">1.</w:t>
      </w:r>
      <w:bookmarkEnd w:id="105"/>
      <w:r>
        <w:rPr>
          <w:rFonts w:hint="eastAsia" w:ascii="宋体" w:hAnsi="宋体" w:eastAsia="宋体" w:cs="宋体"/>
          <w:color w:val="000000"/>
          <w:sz w:val="24"/>
          <w:szCs w:val="24"/>
          <w:highlight w:val="none"/>
        </w:rPr>
        <w:t xml:space="preserve">确定</w:t>
      </w:r>
      <w:bookmarkEnd w:id="106"/>
      <w:r/>
      <w:bookmarkEnd w:id="107"/>
      <w:r>
        <w:rPr>
          <w:rFonts w:hint="eastAsia" w:ascii="宋体" w:hAnsi="宋体" w:eastAsia="宋体" w:cs="宋体"/>
          <w:color w:val="000000"/>
          <w:sz w:val="24"/>
          <w:szCs w:val="24"/>
          <w:highlight w:val="none"/>
        </w:rPr>
        <w:t xml:space="preserve">成交单位</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1.1磋商小组根据综合评分情况，按照评审得分由高到低顺序推荐3名成交候选供应商，并编写评审报告</w:t>
      </w:r>
      <w:r>
        <w:rPr>
          <w:rFonts w:hint="eastAsia" w:ascii="宋体" w:hAnsi="宋体" w:eastAsia="宋体" w:cs="宋体"/>
          <w:b w:val="0"/>
          <w:bCs w:val="0"/>
          <w:color w:val="000000"/>
          <w:sz w:val="24"/>
          <w:szCs w:val="24"/>
          <w:highlight w:val="none"/>
        </w:rPr>
        <w:t xml:space="preserve">。评审得分相同的，按照最后报价由低到高的顺序推荐。评审得分且最后报价相同的，按照技术指标优劣顺序推荐。</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1.2采购人根据磋商小组推荐的成交候选人报告依法按照得分最高原则确定1名成</w:t>
      </w:r>
      <w:r>
        <w:rPr>
          <w:rFonts w:hint="eastAsia" w:ascii="宋体" w:hAnsi="宋体" w:eastAsia="宋体" w:cs="宋体"/>
          <w:color w:val="000000"/>
          <w:sz w:val="24"/>
          <w:szCs w:val="24"/>
          <w:highlight w:val="none"/>
        </w:rPr>
        <w:t xml:space="preserve">交供应商。采购人确定成交供应商后，采购代理机构将向成交供应商发出成交通知书。</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质疑处理</w:t>
      </w:r>
      <w:r/>
    </w:p>
    <w:p>
      <w:pPr>
        <w:pStyle w:val="943"/>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bookmarkStart w:id="108" w:name="_Toc16938553"/>
      <w:r/>
      <w:bookmarkStart w:id="109" w:name="_Toc513029237"/>
      <w:r/>
      <w:bookmarkStart w:id="110" w:name="_Toc20823309"/>
      <w:r>
        <w:rPr>
          <w:rFonts w:hint="eastAsia" w:ascii="宋体" w:hAnsi="宋体" w:eastAsia="宋体" w:cs="宋体"/>
          <w:color w:val="000000"/>
          <w:sz w:val="24"/>
          <w:szCs w:val="24"/>
          <w:highlight w:val="none"/>
        </w:rPr>
        <w:t xml:space="preserve">2.1供应商对采购活动事项有疑问的，可以向采购代理机构提出询问，采购代理机构将及时作出答复，但答复的内容不涉及商业秘密。</w:t>
      </w:r>
      <w:r/>
    </w:p>
    <w:p>
      <w:pPr>
        <w:pStyle w:val="943"/>
        <w:ind w:firstLine="480"/>
        <w:keepLines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2.2供应商认为采购过程和成交结果使自己的合法权益受到损害的，在规定时间内以书面形式向采购代理机构提出质疑，但需对质疑内容的真实性承担责任。</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六、合同签订相关事项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1.签订合同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1.2磋商文件、成交供应商的响应文件及磋商采购过程中有关澄清、承诺文件均应作为合同附件。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41"/>
      <w:r/>
      <w:bookmarkEnd w:id="42"/>
      <w:r/>
      <w:bookmarkEnd w:id="43"/>
      <w:r/>
      <w:bookmarkEnd w:id="44"/>
      <w:r/>
      <w:bookmarkEnd w:id="45"/>
      <w:r/>
      <w:bookmarkEnd w:id="108"/>
      <w:r/>
      <w:bookmarkEnd w:id="109"/>
      <w:r/>
      <w:bookmarkEnd w:id="110"/>
      <w:r/>
      <w:r/>
    </w:p>
    <w:p>
      <w:pPr>
        <w:ind w:firstLine="482"/>
        <w:keepLines w:val="0"/>
        <w:keepNext w:val="0"/>
        <w:pageBreakBefore w:val="0"/>
        <w:spacing w:line="360" w:lineRule="auto"/>
        <w:widowControl/>
        <w:rPr>
          <w:b/>
          <w:bCs/>
          <w:sz w:val="24"/>
          <w:szCs w:val="24"/>
          <w:highlight w:val="none"/>
        </w:rPr>
      </w:pPr>
      <w:r>
        <w:rPr>
          <w:rFonts w:hint="eastAsia"/>
          <w:b/>
          <w:bCs/>
          <w:sz w:val="24"/>
          <w:szCs w:val="24"/>
          <w:highlight w:val="none"/>
        </w:rPr>
        <w:t xml:space="preserve">七、其他事项说明：（落实的相关政策）</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根据《商品包装政府采购需求标准(试行)》、《快递包装政府采购需求标准(试行)》的通知(财办库[2020]123号)要求，商品使用的塑料、纸质、木材等包装需达到环保要求。</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根据《商品包装政府采购需求标准（试行）》、《快递包装政府采购需求标准（试行）》的通知（财办库[2020]123号要求，商品使用的塑料、纸质、木材等包装需达到环保要求。</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根据泰财购[2023]33号文 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ind w:firstLine="480"/>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八、采购标的所属行业</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color w:val="000000"/>
          <w:sz w:val="24"/>
          <w:szCs w:val="24"/>
          <w:highlight w:val="none"/>
          <w:u w:val="single"/>
          <w:lang w:val="en-US" w:eastAsia="zh-CN"/>
        </w:rPr>
        <w:t xml:space="preserve">建筑业</w:t>
      </w:r>
      <w:r>
        <w:rPr>
          <w:rFonts w:hint="eastAsia" w:ascii="宋体" w:hAnsi="宋体" w:eastAsia="宋体" w:cs="宋体"/>
          <w:color w:val="000000"/>
          <w:sz w:val="24"/>
          <w:szCs w:val="24"/>
          <w:highlight w:val="none"/>
          <w:u w:val="none"/>
          <w:lang w:val="en-US" w:eastAsia="zh-CN"/>
        </w:rPr>
        <w:t xml:space="preserve">。</w:t>
      </w:r>
      <w:r/>
    </w:p>
    <w:p>
      <w:pPr>
        <w:ind w:firstLine="556"/>
        <w:keepLines w:val="0"/>
        <w:keepNext w:val="0"/>
        <w:pageBreakBefore w:val="0"/>
        <w:spacing w:beforeAutospacing="0" w:afterAutospacing="0"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、关于异常低价的审查</w:t>
      </w:r>
      <w:r/>
    </w:p>
    <w:p>
      <w:pPr>
        <w:ind w:firstLine="42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1、评审过程中出现下列情形之一的，评审委员会将启动异常低价投标（响应）审查程序：</w:t>
      </w:r>
      <w:r/>
    </w:p>
    <w:p>
      <w:pPr>
        <w:ind w:firstLine="42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（1）投标（响应）报价低于采购项目预算50%的，即投标（响应）报价&lt;采购项目预算×50%；</w:t>
      </w:r>
      <w:r/>
    </w:p>
    <w:p>
      <w:pPr>
        <w:ind w:firstLine="42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（2）投标（响应）报价低于采购项目最高限价45%的，即投标（响应）报价&lt;采购项目最高限价×45%；</w:t>
      </w:r>
      <w:r/>
    </w:p>
    <w:p>
      <w:pPr>
        <w:ind w:firstLine="42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（3）评审委员会认定的供应商报价过低、有可能影响产品质量或者不能诚信履约的其他情形。</w:t>
      </w:r>
      <w:r/>
    </w:p>
    <w:p>
      <w:pPr>
        <w:ind w:firstLine="420"/>
        <w:keepLines w:val="0"/>
        <w:keepNext w:val="0"/>
        <w:pageBreakBefore w:val="0"/>
        <w:spacing w:beforeAutospacing="0" w:afterAutospacing="0"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启动异常低价投标（响应）审查后，评审委员会应当要求相关供应</w:t>
      </w:r>
      <w:r>
        <w:rPr>
          <w:rFonts w:hint="eastAsia" w:ascii="宋体" w:hAnsi="宋体" w:eastAsia="宋体" w:cs="宋体"/>
          <w:color w:val="000000"/>
          <w:sz w:val="24"/>
          <w:szCs w:val="24"/>
        </w:rPr>
        <w:t xml:space="preserve">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jc w:val="center"/>
        <w:keepLines w:val="0"/>
        <w:keepNext w:val="0"/>
        <w:pageBreakBefore w:val="0"/>
        <w:spacing w:line="360" w:lineRule="auto"/>
        <w:widowControl w:val="off"/>
        <w:rPr>
          <w:rFonts w:hint="eastAsia" w:ascii="宋体" w:hAnsi="宋体" w:eastAsia="宋体" w:cs="宋体"/>
          <w:color w:val="000000"/>
          <w:sz w:val="30"/>
          <w:szCs w:val="30"/>
          <w:highlight w:val="yellow"/>
        </w:rPr>
        <w:outlineLvl w:val="0"/>
      </w:pPr>
      <w:r/>
      <w:bookmarkStart w:id="111" w:name="_Toc513029243"/>
      <w:r/>
      <w:bookmarkStart w:id="112" w:name="_Toc16938559"/>
      <w:r/>
      <w:bookmarkStart w:id="113" w:name="_Toc20823315"/>
      <w:r>
        <w:rPr>
          <w:rFonts w:hint="eastAsia" w:ascii="宋体" w:hAnsi="宋体" w:eastAsia="宋体" w:cs="宋体"/>
          <w:color w:val="000000"/>
          <w:sz w:val="24"/>
          <w:szCs w:val="24"/>
        </w:rPr>
        <w:br w:type="page" w:clear="all"/>
      </w:r>
      <w:r>
        <w:rPr>
          <w:rFonts w:hint="eastAsia" w:ascii="宋体" w:hAnsi="宋体" w:eastAsia="宋体" w:cs="宋体"/>
          <w:b/>
          <w:color w:val="000000"/>
          <w:sz w:val="30"/>
          <w:szCs w:val="30"/>
          <w:highlight w:val="none"/>
        </w:rPr>
        <w:t xml:space="preserve">第三章 合同条款及格式</w:t>
      </w:r>
      <w:bookmarkEnd w:id="111"/>
      <w:r/>
      <w:bookmarkEnd w:id="112"/>
      <w:r/>
      <w:bookmarkEnd w:id="113"/>
      <w:r>
        <w:rPr>
          <w:rFonts w:hint="eastAsia" w:ascii="宋体" w:hAnsi="宋体" w:eastAsia="宋体" w:cs="宋体"/>
          <w:b/>
          <w:color w:val="auto"/>
          <w:sz w:val="30"/>
          <w:szCs w:val="30"/>
          <w:highlight w:val="none"/>
        </w:rPr>
        <w:t xml:space="preserve">（仅供参考）</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14" w:name="_Toc22356580"/>
      <w:r/>
      <w:bookmarkStart w:id="115" w:name="_Toc23828478"/>
      <w:r/>
      <w:bookmarkStart w:id="116" w:name="_Toc462564139"/>
      <w:r/>
      <w:bookmarkStart w:id="117" w:name="_Toc460901585"/>
      <w:r/>
      <w:bookmarkStart w:id="118" w:name="_Toc513029276"/>
      <w:r/>
      <w:bookmarkStart w:id="119" w:name="_Toc120614283"/>
      <w:r/>
      <w:bookmarkStart w:id="120" w:name="_Toc479757211"/>
      <w:r/>
      <w:bookmarkStart w:id="121" w:name="_Toc26554095"/>
      <w:r/>
      <w:bookmarkStart w:id="122" w:name="_Toc49090577"/>
      <w:r/>
      <w:r/>
    </w:p>
    <w:p>
      <w:pPr>
        <w:pStyle w:val="1239"/>
        <w:jc w:val="center"/>
        <w:rPr>
          <w:rFonts w:hint="eastAsia" w:ascii="宋体" w:hAnsi="宋体" w:eastAsia="宋体" w:cs="宋体"/>
          <w:b/>
          <w:color w:val="auto"/>
          <w:sz w:val="52"/>
          <w:szCs w:val="52"/>
          <w:highlight w:val="none"/>
        </w:rPr>
      </w:pPr>
      <w:r>
        <w:rPr>
          <w:rFonts w:hint="eastAsia" w:ascii="宋体" w:hAnsi="宋体" w:eastAsia="宋体" w:cs="宋体"/>
          <w:b/>
          <w:color w:val="auto"/>
          <w:sz w:val="72"/>
          <w:szCs w:val="52"/>
          <w:highlight w:val="none"/>
        </w:rPr>
        <w:t xml:space="preserve">建设工程施工合同</w:t>
      </w:r>
      <w:r/>
    </w:p>
    <w:p>
      <w:pPr>
        <w:pStyle w:val="1239"/>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39"/>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39"/>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39"/>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（示范文本）</w:t>
      </w:r>
      <w:r/>
    </w:p>
    <w:p>
      <w:pPr>
        <w:pStyle w:val="1239"/>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（GF—2017—0201）</w:t>
      </w:r>
      <w:r/>
    </w:p>
    <w:p>
      <w:pPr>
        <w:pStyle w:val="1239"/>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39"/>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239"/>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239"/>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23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3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23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99"/>
        <w:jc w:val="center"/>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br w:type="page" w:clear="all"/>
      </w:r>
      <w:bookmarkStart w:id="123" w:name="_Toc25199"/>
      <w:r/>
      <w:bookmarkStart w:id="124" w:name="_Toc13260"/>
      <w:r/>
      <w:bookmarkStart w:id="125" w:name="_Toc8384"/>
      <w:r/>
      <w:bookmarkStart w:id="126" w:name="_Toc31165"/>
      <w:r/>
      <w:bookmarkStart w:id="127" w:name="_Toc24241"/>
      <w:r/>
      <w:bookmarkStart w:id="128" w:name="_Toc31060"/>
      <w:r/>
      <w:bookmarkStart w:id="129" w:name="_Toc14317"/>
      <w:r/>
      <w:bookmarkStart w:id="130" w:name="_Toc498006744"/>
      <w:r/>
      <w:bookmarkStart w:id="131" w:name="_Toc22457"/>
      <w:r>
        <w:rPr>
          <w:rFonts w:hint="eastAsia" w:ascii="宋体" w:hAnsi="宋体" w:eastAsia="宋体" w:cs="宋体"/>
          <w:color w:val="auto"/>
          <w:sz w:val="28"/>
          <w:szCs w:val="28"/>
          <w:highlight w:val="none"/>
        </w:rPr>
        <w:t xml:space="preserve">第一部分 合同协议书</w:t>
      </w:r>
      <w:bookmarkEnd w:id="123"/>
      <w:r/>
      <w:bookmarkEnd w:id="124"/>
      <w:r/>
      <w:bookmarkEnd w:id="125"/>
      <w:r/>
      <w:bookmarkEnd w:id="126"/>
      <w:r/>
      <w:bookmarkEnd w:id="127"/>
      <w:r/>
      <w:bookmarkEnd w:id="128"/>
      <w:r/>
      <w:bookmarkEnd w:id="129"/>
      <w:r/>
      <w:bookmarkEnd w:id="130"/>
      <w:r/>
      <w:bookmarkEnd w:id="131"/>
      <w:r/>
      <w:r/>
    </w:p>
    <w:p>
      <w:pPr>
        <w:spacing w:line="332" w:lineRule="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发包人（全称）：</w:t>
      </w:r>
      <w:r>
        <w:rPr>
          <w:rFonts w:hint="eastAsia" w:ascii="宋体" w:hAnsi="宋体" w:cs="宋体"/>
          <w:color w:val="auto"/>
          <w:sz w:val="24"/>
          <w:szCs w:val="24"/>
          <w:highlight w:val="none"/>
          <w:u w:val="single"/>
          <w:lang w:val="en-US" w:eastAsia="zh-CN"/>
        </w:rPr>
        <w:t xml:space="preserve">泰州市九龙镇人民政府</w:t>
      </w:r>
      <w:r/>
    </w:p>
    <w:p>
      <w:pPr>
        <w:spacing w:line="332" w:lineRule="auto"/>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4"/>
          <w:szCs w:val="24"/>
          <w:highlight w:val="none"/>
          <w:u w:val="single"/>
          <w:lang w:eastAsia="zh-CN"/>
        </w:rPr>
        <w:t xml:space="preserve">九龙镇振东疏导点建设工程</w:t>
      </w:r>
      <w:r>
        <w:rPr>
          <w:rFonts w:hint="eastAsia" w:ascii="宋体" w:hAnsi="宋体" w:eastAsia="宋体" w:cs="宋体"/>
          <w:color w:val="auto"/>
          <w:sz w:val="24"/>
          <w:szCs w:val="24"/>
          <w:highlight w:val="none"/>
        </w:rPr>
        <w:t xml:space="preserve">施工及有关事项协商一致，共同达成如下协议：</w:t>
      </w:r>
      <w:r/>
    </w:p>
    <w:p>
      <w:pPr>
        <w:pStyle w:val="900"/>
        <w:spacing w:line="332" w:lineRule="auto"/>
        <w:rPr>
          <w:rFonts w:hint="eastAsia" w:ascii="宋体" w:hAnsi="宋体" w:eastAsia="宋体" w:cs="宋体"/>
          <w:bCs w:val="0"/>
          <w:color w:val="auto"/>
          <w:sz w:val="24"/>
          <w:szCs w:val="24"/>
          <w:highlight w:val="none"/>
        </w:rPr>
      </w:pPr>
      <w:r/>
      <w:bookmarkStart w:id="132" w:name="_Toc351203481"/>
      <w:r>
        <w:rPr>
          <w:rFonts w:hint="eastAsia" w:ascii="宋体" w:hAnsi="宋体" w:eastAsia="宋体" w:cs="宋体"/>
          <w:bCs w:val="0"/>
          <w:color w:val="auto"/>
          <w:sz w:val="24"/>
          <w:szCs w:val="24"/>
          <w:highlight w:val="none"/>
        </w:rPr>
        <w:t xml:space="preserve">一、工程概况</w:t>
      </w:r>
      <w:bookmarkEnd w:id="132"/>
      <w:r/>
      <w:r/>
    </w:p>
    <w:p>
      <w:pPr>
        <w:ind w:firstLine="47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eastAsia="zh-CN"/>
        </w:rPr>
        <w:t xml:space="preserve">九龙镇振东疏导点建设工程</w:t>
      </w:r>
      <w:r>
        <w:rPr>
          <w:rFonts w:hint="eastAsia" w:ascii="宋体" w:hAnsi="宋体" w:eastAsia="宋体" w:cs="宋体"/>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cs="宋体"/>
          <w:bCs/>
          <w:color w:val="auto"/>
          <w:sz w:val="24"/>
          <w:szCs w:val="24"/>
          <w:highlight w:val="none"/>
          <w:u w:val="single"/>
          <w:lang w:val="en-US" w:eastAsia="zh-CN"/>
        </w:rPr>
        <w:t xml:space="preserve">泰州市九龙镇振东社区 </w:t>
      </w:r>
      <w:r>
        <w:rPr>
          <w:rFonts w:hint="eastAsia" w:ascii="宋体" w:hAnsi="宋体" w:eastAsia="宋体" w:cs="宋体"/>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  财政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70"/>
        <w:spacing w:line="332"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群体工程应附《承包人承揽工程项目一览表》（附件1）。</w:t>
      </w:r>
      <w:r/>
    </w:p>
    <w:p>
      <w:pPr>
        <w:ind w:firstLine="470"/>
        <w:spacing w:line="332"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详见工程量清单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 w:val="24"/>
          <w:szCs w:val="24"/>
          <w:highlight w:val="none"/>
        </w:rPr>
      </w:pPr>
      <w:r/>
      <w:bookmarkStart w:id="133" w:name="_Toc351203482"/>
      <w:r>
        <w:rPr>
          <w:rFonts w:hint="eastAsia" w:ascii="宋体" w:hAnsi="宋体" w:eastAsia="宋体" w:cs="宋体"/>
          <w:bCs w:val="0"/>
          <w:color w:val="auto"/>
          <w:sz w:val="24"/>
          <w:szCs w:val="24"/>
          <w:highlight w:val="none"/>
        </w:rPr>
        <w:t xml:space="preserve">二、合同工期</w:t>
      </w:r>
      <w:bookmarkEnd w:id="133"/>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3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pStyle w:val="900"/>
        <w:spacing w:line="332" w:lineRule="auto"/>
        <w:rPr>
          <w:rFonts w:hint="eastAsia" w:ascii="宋体" w:hAnsi="宋体" w:eastAsia="宋体" w:cs="宋体"/>
          <w:bCs w:val="0"/>
          <w:color w:val="auto"/>
          <w:sz w:val="24"/>
          <w:szCs w:val="24"/>
          <w:highlight w:val="none"/>
        </w:rPr>
      </w:pPr>
      <w:r/>
      <w:bookmarkStart w:id="134" w:name="_Toc351203483"/>
      <w:r>
        <w:rPr>
          <w:rFonts w:hint="eastAsia" w:ascii="宋体" w:hAnsi="宋体" w:eastAsia="宋体" w:cs="宋体"/>
          <w:bCs w:val="0"/>
          <w:color w:val="auto"/>
          <w:sz w:val="24"/>
          <w:szCs w:val="24"/>
          <w:highlight w:val="none"/>
        </w:rPr>
        <w:t xml:space="preserve">三、质量标准</w:t>
      </w:r>
      <w:bookmarkEnd w:id="134"/>
      <w:r/>
      <w:r/>
    </w:p>
    <w:p>
      <w:pPr>
        <w:ind w:firstLine="459"/>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合格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标准。</w:t>
      </w:r>
      <w:r/>
    </w:p>
    <w:p>
      <w:pPr>
        <w:pStyle w:val="900"/>
        <w:spacing w:line="332" w:lineRule="auto"/>
        <w:rPr>
          <w:rFonts w:hint="eastAsia" w:ascii="宋体" w:hAnsi="宋体" w:eastAsia="宋体" w:cs="宋体"/>
          <w:bCs w:val="0"/>
          <w:color w:val="auto"/>
          <w:sz w:val="24"/>
          <w:szCs w:val="24"/>
          <w:highlight w:val="none"/>
        </w:rPr>
      </w:pPr>
      <w:r/>
      <w:bookmarkStart w:id="135" w:name="_Toc351203484"/>
      <w:r>
        <w:rPr>
          <w:rFonts w:hint="eastAsia" w:ascii="宋体" w:hAnsi="宋体" w:eastAsia="宋体" w:cs="宋体"/>
          <w:bCs w:val="0"/>
          <w:color w:val="auto"/>
          <w:sz w:val="24"/>
          <w:szCs w:val="24"/>
          <w:highlight w:val="none"/>
        </w:rPr>
        <w:t xml:space="preserve">四、签约合同价与合同价格形式</w:t>
      </w:r>
      <w:bookmarkEnd w:id="135"/>
      <w:r>
        <w:rPr>
          <w:rFonts w:hint="eastAsia" w:ascii="宋体" w:hAnsi="宋体" w:eastAsia="宋体" w:cs="宋体"/>
          <w:b w:val="0"/>
          <w:color w:val="auto"/>
          <w:sz w:val="24"/>
          <w:szCs w:val="24"/>
          <w:highlight w:val="none"/>
        </w:rPr>
        <w:tab/>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firstLine="60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firstLine="10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 w:val="24"/>
          <w:szCs w:val="24"/>
          <w:highlight w:val="none"/>
        </w:rPr>
      </w:pPr>
      <w:r/>
      <w:bookmarkStart w:id="136" w:name="_Toc351203485"/>
      <w:r>
        <w:rPr>
          <w:rFonts w:hint="eastAsia" w:ascii="宋体" w:hAnsi="宋体" w:eastAsia="宋体" w:cs="宋体"/>
          <w:bCs w:val="0"/>
          <w:color w:val="auto"/>
          <w:sz w:val="24"/>
          <w:szCs w:val="24"/>
          <w:highlight w:val="none"/>
        </w:rPr>
        <w:t xml:space="preserve">五、</w:t>
      </w:r>
      <w:bookmarkEnd w:id="136"/>
      <w:r>
        <w:rPr>
          <w:rFonts w:hint="eastAsia" w:ascii="宋体" w:hAnsi="宋体" w:eastAsia="宋体" w:cs="宋体"/>
          <w:bCs w:val="0"/>
          <w:color w:val="auto"/>
          <w:sz w:val="24"/>
          <w:szCs w:val="24"/>
          <w:highlight w:val="none"/>
        </w:rPr>
        <w:t xml:space="preserve">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 w:val="24"/>
          <w:szCs w:val="24"/>
          <w:highlight w:val="none"/>
        </w:rPr>
      </w:pPr>
      <w:r/>
      <w:bookmarkStart w:id="137" w:name="_Toc351203486"/>
      <w:r>
        <w:rPr>
          <w:rFonts w:hint="eastAsia" w:ascii="宋体" w:hAnsi="宋体" w:eastAsia="宋体" w:cs="宋体"/>
          <w:bCs w:val="0"/>
          <w:color w:val="auto"/>
          <w:sz w:val="24"/>
          <w:szCs w:val="24"/>
          <w:highlight w:val="none"/>
        </w:rPr>
        <w:t xml:space="preserve">六、合同文件构成</w:t>
      </w:r>
      <w:bookmarkEnd w:id="137"/>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通知书（如果有）；</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00"/>
        <w:spacing w:line="332" w:lineRule="auto"/>
        <w:rPr>
          <w:rFonts w:hint="eastAsia" w:ascii="宋体" w:hAnsi="宋体" w:eastAsia="宋体" w:cs="宋体"/>
          <w:bCs w:val="0"/>
          <w:color w:val="auto"/>
          <w:sz w:val="24"/>
          <w:szCs w:val="24"/>
          <w:highlight w:val="none"/>
        </w:rPr>
      </w:pPr>
      <w:r/>
      <w:bookmarkStart w:id="138" w:name="_Toc351203487"/>
      <w:r>
        <w:rPr>
          <w:rFonts w:hint="eastAsia" w:ascii="宋体" w:hAnsi="宋体" w:eastAsia="宋体" w:cs="宋体"/>
          <w:bCs w:val="0"/>
          <w:color w:val="auto"/>
          <w:sz w:val="24"/>
          <w:szCs w:val="24"/>
          <w:highlight w:val="none"/>
        </w:rPr>
        <w:t xml:space="preserve">七、承诺</w:t>
      </w:r>
      <w:bookmarkEnd w:id="138"/>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pStyle w:val="900"/>
        <w:spacing w:line="332" w:lineRule="auto"/>
        <w:rPr>
          <w:rFonts w:hint="eastAsia" w:ascii="宋体" w:hAnsi="宋体" w:eastAsia="宋体" w:cs="宋体"/>
          <w:color w:val="auto"/>
          <w:sz w:val="24"/>
          <w:szCs w:val="24"/>
          <w:highlight w:val="none"/>
        </w:rPr>
      </w:pPr>
      <w:r/>
      <w:bookmarkStart w:id="139" w:name="_Toc351203488"/>
      <w:r>
        <w:rPr>
          <w:rFonts w:hint="eastAsia" w:ascii="宋体" w:hAnsi="宋体" w:eastAsia="宋体" w:cs="宋体"/>
          <w:color w:val="auto"/>
          <w:sz w:val="24"/>
          <w:szCs w:val="24"/>
          <w:highlight w:val="none"/>
        </w:rPr>
        <w:t xml:space="preserve">八、词语含义</w:t>
      </w:r>
      <w:bookmarkEnd w:id="139"/>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900"/>
        <w:spacing w:line="332" w:lineRule="auto"/>
        <w:rPr>
          <w:rFonts w:hint="eastAsia" w:ascii="宋体" w:hAnsi="宋体" w:eastAsia="宋体" w:cs="宋体"/>
          <w:color w:val="auto"/>
          <w:sz w:val="24"/>
          <w:szCs w:val="24"/>
          <w:highlight w:val="none"/>
        </w:rPr>
      </w:pPr>
      <w:r/>
      <w:bookmarkStart w:id="140" w:name="_Toc351203489"/>
      <w:r>
        <w:rPr>
          <w:rFonts w:hint="eastAsia" w:ascii="宋体" w:hAnsi="宋体" w:eastAsia="宋体" w:cs="宋体"/>
          <w:color w:val="auto"/>
          <w:sz w:val="24"/>
          <w:szCs w:val="24"/>
          <w:highlight w:val="none"/>
        </w:rPr>
        <w:t xml:space="preserve">九、签订时间</w:t>
      </w:r>
      <w:bookmarkEnd w:id="140"/>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Style w:val="900"/>
        <w:spacing w:line="332" w:lineRule="auto"/>
        <w:rPr>
          <w:rFonts w:hint="eastAsia" w:ascii="宋体" w:hAnsi="宋体" w:eastAsia="宋体" w:cs="宋体"/>
          <w:bCs w:val="0"/>
          <w:color w:val="auto"/>
          <w:sz w:val="24"/>
          <w:szCs w:val="24"/>
          <w:highlight w:val="none"/>
        </w:rPr>
      </w:pPr>
      <w:r/>
      <w:bookmarkStart w:id="141" w:name="_Toc351203490"/>
      <w:r>
        <w:rPr>
          <w:rFonts w:hint="eastAsia" w:ascii="宋体" w:hAnsi="宋体" w:eastAsia="宋体" w:cs="宋体"/>
          <w:bCs w:val="0"/>
          <w:color w:val="auto"/>
          <w:sz w:val="24"/>
          <w:szCs w:val="24"/>
          <w:highlight w:val="none"/>
        </w:rPr>
        <w:t xml:space="preserve">十、签订地点</w:t>
      </w:r>
      <w:bookmarkEnd w:id="141"/>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900"/>
        <w:spacing w:line="332" w:lineRule="auto"/>
        <w:rPr>
          <w:rFonts w:hint="eastAsia" w:ascii="宋体" w:hAnsi="宋体" w:eastAsia="宋体" w:cs="宋体"/>
          <w:bCs w:val="0"/>
          <w:color w:val="auto"/>
          <w:sz w:val="24"/>
          <w:szCs w:val="24"/>
          <w:highlight w:val="none"/>
        </w:rPr>
      </w:pPr>
      <w:r/>
      <w:bookmarkStart w:id="142" w:name="_Toc351203491"/>
      <w:r>
        <w:rPr>
          <w:rFonts w:hint="eastAsia" w:ascii="宋体" w:hAnsi="宋体" w:eastAsia="宋体" w:cs="宋体"/>
          <w:bCs w:val="0"/>
          <w:color w:val="auto"/>
          <w:sz w:val="24"/>
          <w:szCs w:val="24"/>
          <w:highlight w:val="none"/>
        </w:rPr>
        <w:t xml:space="preserve">十一、补充协议</w:t>
      </w:r>
      <w:bookmarkEnd w:id="142"/>
      <w:r/>
      <w:r/>
    </w:p>
    <w:p>
      <w:pPr>
        <w:ind w:firstLine="480"/>
        <w:spacing w:line="332"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900"/>
        <w:spacing w:line="332" w:lineRule="auto"/>
        <w:rPr>
          <w:rFonts w:hint="eastAsia" w:ascii="宋体" w:hAnsi="宋体" w:eastAsia="宋体" w:cs="宋体"/>
          <w:bCs w:val="0"/>
          <w:color w:val="auto"/>
          <w:sz w:val="24"/>
          <w:szCs w:val="24"/>
          <w:highlight w:val="none"/>
        </w:rPr>
      </w:pPr>
      <w:r/>
      <w:bookmarkStart w:id="143" w:name="_Toc351203492"/>
      <w:r>
        <w:rPr>
          <w:rFonts w:hint="eastAsia" w:ascii="宋体" w:hAnsi="宋体" w:eastAsia="宋体" w:cs="宋体"/>
          <w:bCs w:val="0"/>
          <w:color w:val="auto"/>
          <w:sz w:val="24"/>
          <w:szCs w:val="24"/>
          <w:highlight w:val="none"/>
        </w:rPr>
        <w:t xml:space="preserve">十二、合同生效</w:t>
      </w:r>
      <w:bookmarkEnd w:id="143"/>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pStyle w:val="900"/>
        <w:spacing w:line="332" w:lineRule="auto"/>
        <w:rPr>
          <w:rFonts w:hint="eastAsia" w:ascii="宋体" w:hAnsi="宋体" w:eastAsia="宋体" w:cs="宋体"/>
          <w:bCs w:val="0"/>
          <w:color w:val="auto"/>
          <w:sz w:val="24"/>
          <w:szCs w:val="24"/>
          <w:highlight w:val="none"/>
        </w:rPr>
      </w:pPr>
      <w:r/>
      <w:bookmarkStart w:id="144" w:name="_Toc351203493"/>
      <w:r>
        <w:rPr>
          <w:rFonts w:hint="eastAsia" w:ascii="宋体" w:hAnsi="宋体" w:eastAsia="宋体" w:cs="宋体"/>
          <w:bCs w:val="0"/>
          <w:color w:val="auto"/>
          <w:sz w:val="24"/>
          <w:szCs w:val="24"/>
          <w:highlight w:val="none"/>
        </w:rPr>
        <w:t xml:space="preserve">十三、合同份数</w:t>
      </w:r>
      <w:bookmarkEnd w:id="144"/>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ind w:firstLine="480"/>
        <w:spacing w:line="33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32"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（签字）   法定代表人或其委托代理人：        （签字）</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32" w:lineRule="auto"/>
        <w:tabs>
          <w:tab w:val="left" w:pos="4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p>
    <w:p>
      <w:pPr>
        <w:ind w:right="-36" w:firstLine="529"/>
        <w:spacing w:line="332"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jc w:val="center"/>
        <w:spacing w:line="32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bookmarkStart w:id="145" w:name="_Toc498006745"/>
      <w:r/>
      <w:bookmarkStart w:id="146" w:name="_Toc31166"/>
      <w:r/>
      <w:bookmarkStart w:id="147" w:name="_Toc4481"/>
      <w:r/>
      <w:bookmarkStart w:id="148" w:name="_Toc29559"/>
      <w:r/>
      <w:bookmarkStart w:id="149" w:name="_Toc14334"/>
      <w:r/>
      <w:bookmarkStart w:id="150" w:name="_Toc626"/>
      <w:r/>
      <w:bookmarkStart w:id="151" w:name="_Toc23700"/>
      <w:r/>
      <w:bookmarkStart w:id="152" w:name="_Toc31124"/>
      <w:r/>
      <w:bookmarkStart w:id="153" w:name="_Toc7799"/>
      <w:r>
        <w:rPr>
          <w:rFonts w:hint="eastAsia" w:ascii="宋体" w:hAnsi="宋体" w:eastAsia="宋体" w:cs="宋体"/>
          <w:color w:val="auto"/>
          <w:sz w:val="28"/>
          <w:szCs w:val="28"/>
          <w:highlight w:val="none"/>
        </w:rPr>
        <w:t xml:space="preserve">第二部分 通用合同条款</w:t>
      </w:r>
      <w:bookmarkEnd w:id="145"/>
      <w:r/>
      <w:bookmarkEnd w:id="146"/>
      <w:r/>
      <w:bookmarkEnd w:id="147"/>
      <w:r/>
      <w:bookmarkEnd w:id="148"/>
      <w:r/>
      <w:bookmarkEnd w:id="149"/>
      <w:r/>
      <w:bookmarkEnd w:id="150"/>
      <w:r/>
      <w:bookmarkEnd w:id="151"/>
      <w:r/>
      <w:bookmarkEnd w:id="152"/>
      <w:r/>
      <w:bookmarkEnd w:id="153"/>
      <w:r/>
      <w:r/>
    </w:p>
    <w:p>
      <w:pPr>
        <w:ind w:firstLine="42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2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b/>
          <w:color w:val="auto"/>
          <w:szCs w:val="21"/>
          <w:highlight w:val="none"/>
          <w:lang w:val="en-US" w:eastAsia="zh-CN"/>
        </w:rPr>
        <w:t xml:space="preserve">    </w:t>
      </w:r>
      <w:r>
        <w:rPr>
          <w:rFonts w:hint="eastAsia" w:ascii="宋体" w:hAnsi="宋体" w:eastAsia="宋体" w:cs="宋体"/>
          <w:bCs/>
          <w:color w:val="auto"/>
          <w:szCs w:val="21"/>
          <w:highlight w:val="none"/>
        </w:rPr>
        <w:t xml:space="preserve"> 采用《建设工程施工合同（示范文本）》（GF—2017—0201）</w:t>
      </w:r>
      <w:r>
        <w:rPr>
          <w:rFonts w:hint="eastAsia" w:ascii="宋体" w:hAnsi="宋体" w:eastAsia="宋体" w:cs="宋体"/>
          <w:b/>
          <w:color w:val="auto"/>
          <w:szCs w:val="21"/>
          <w:highlight w:val="none"/>
        </w:rPr>
        <w:t xml:space="preserve">。</w:t>
      </w:r>
      <w:r/>
    </w:p>
    <w:p>
      <w:pPr>
        <w:pStyle w:val="899"/>
        <w:jc w:val="left"/>
        <w:spacing w:line="320" w:lineRule="exact"/>
        <w:rPr>
          <w:rFonts w:hint="eastAsia" w:ascii="宋体" w:hAnsi="宋体" w:eastAsia="宋体" w:cs="宋体"/>
          <w:color w:val="auto"/>
          <w:sz w:val="28"/>
          <w:szCs w:val="44"/>
          <w:highlight w:val="none"/>
        </w:rPr>
      </w:pPr>
      <w:r/>
      <w:bookmarkStart w:id="154" w:name="_Toc16085"/>
      <w:r/>
      <w:bookmarkStart w:id="155" w:name="_Toc18670"/>
      <w:r/>
      <w:bookmarkStart w:id="156" w:name="_Toc31572"/>
      <w:r/>
      <w:bookmarkStart w:id="157" w:name="_Toc22528"/>
      <w:r/>
      <w:bookmarkStart w:id="158" w:name="_Toc498006746"/>
      <w:r/>
      <w:bookmarkStart w:id="159" w:name="_Toc20972"/>
      <w:r/>
      <w:bookmarkStart w:id="160" w:name="_Toc6139"/>
      <w:r/>
      <w:bookmarkStart w:id="161" w:name="_Toc3762"/>
      <w:r/>
      <w:bookmarkStart w:id="162" w:name="_Toc24191"/>
      <w:r>
        <w:rPr>
          <w:rFonts w:hint="eastAsia" w:ascii="宋体" w:hAnsi="宋体" w:eastAsia="宋体" w:cs="宋体"/>
          <w:color w:val="auto"/>
          <w:sz w:val="28"/>
          <w:szCs w:val="44"/>
          <w:highlight w:val="none"/>
        </w:rPr>
        <w:t xml:space="preserve">第三部分 专用合同条款</w:t>
      </w:r>
      <w:bookmarkEnd w:id="154"/>
      <w:r/>
      <w:bookmarkEnd w:id="155"/>
      <w:r/>
      <w:bookmarkEnd w:id="156"/>
      <w:r/>
      <w:bookmarkEnd w:id="157"/>
      <w:r/>
      <w:bookmarkEnd w:id="158"/>
      <w:r/>
      <w:bookmarkEnd w:id="159"/>
      <w:r/>
      <w:bookmarkEnd w:id="160"/>
      <w:r/>
      <w:bookmarkEnd w:id="161"/>
      <w:r/>
      <w:bookmarkEnd w:id="162"/>
      <w:r/>
      <w:r/>
    </w:p>
    <w:p>
      <w:pPr>
        <w:pStyle w:val="900"/>
        <w:spacing w:line="332" w:lineRule="auto"/>
        <w:rPr>
          <w:rFonts w:hint="eastAsia" w:ascii="宋体" w:hAnsi="宋体" w:eastAsia="宋体" w:cs="宋体"/>
          <w:bCs w:val="0"/>
          <w:color w:val="auto"/>
          <w:szCs w:val="32"/>
          <w:highlight w:val="none"/>
        </w:rPr>
      </w:pPr>
      <w:r/>
      <w:bookmarkStart w:id="163" w:name="_Toc351203633"/>
      <w:r>
        <w:rPr>
          <w:rFonts w:hint="eastAsia" w:ascii="宋体" w:hAnsi="宋体" w:eastAsia="宋体" w:cs="宋体"/>
          <w:bCs w:val="0"/>
          <w:color w:val="auto"/>
          <w:szCs w:val="32"/>
          <w:highlight w:val="none"/>
        </w:rPr>
        <w:t xml:space="preserve">1</w:t>
      </w:r>
      <w:bookmarkStart w:id="164" w:name="_Toc297120456"/>
      <w:r/>
      <w:bookmarkStart w:id="165" w:name="_Toc296890984"/>
      <w:r/>
      <w:bookmarkStart w:id="166" w:name="_Toc296503156"/>
      <w:r/>
      <w:bookmarkStart w:id="167" w:name="_Toc296944495"/>
      <w:r/>
      <w:bookmarkStart w:id="168" w:name="_Toc292559866"/>
      <w:r/>
      <w:bookmarkStart w:id="169" w:name="_Toc296347155"/>
      <w:r/>
      <w:bookmarkStart w:id="170" w:name="_Toc296891196"/>
      <w:r/>
      <w:bookmarkStart w:id="171" w:name="_Toc296346657"/>
      <w:r/>
      <w:bookmarkStart w:id="172" w:name="_Toc292559361"/>
      <w:r/>
      <w:bookmarkStart w:id="173" w:name="_Toc297048342"/>
      <w:r>
        <w:rPr>
          <w:rFonts w:hint="eastAsia" w:ascii="宋体" w:hAnsi="宋体" w:eastAsia="宋体" w:cs="宋体"/>
          <w:bCs w:val="0"/>
          <w:color w:val="auto"/>
          <w:szCs w:val="32"/>
          <w:highlight w:val="none"/>
        </w:rPr>
        <w:t xml:space="preserve">. 一般约定</w:t>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 (1)合同履行中，发包人承包人有关工程的洽商、变更等书面协议或文件视为本合同的组成部分</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现场临时办公及施工场地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     </w:t>
      </w:r>
      <w:r>
        <w:rPr>
          <w:spacing w:val="6"/>
          <w:sz w:val="24"/>
          <w:szCs w:val="24"/>
          <w:u w:val="single"/>
        </w:rPr>
        <w:t xml:space="preserve">按照设计图纸确定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spacing w:val="6"/>
          <w:sz w:val="24"/>
          <w:szCs w:val="24"/>
          <w:u w:val="single"/>
        </w:rPr>
        <w:t xml:space="preserve">合同履行中确定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596"/>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《中华人民共和国民法典》、《中华人民共和国建筑法》、《中华人民共和国招标投标法》、《中华人民共和国招标投标法实施</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》、《中华人民共和国担保法》、《中华人民共和国政府采购法》、《建设工程质量管理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》、《建设工程安全生产管理</w:t>
      </w:r>
      <w:r>
        <w:rPr>
          <w:rFonts w:hint="eastAsia" w:ascii="宋体" w:hAnsi="宋体" w:cs="宋体"/>
          <w:color w:val="auto"/>
          <w:sz w:val="24"/>
          <w:szCs w:val="24"/>
          <w:highlight w:val="none"/>
          <w:u w:val="single"/>
          <w:lang w:eastAsia="zh-CN"/>
        </w:rPr>
        <w:t xml:space="preserve">条例</w:t>
      </w:r>
      <w:r>
        <w:rPr>
          <w:rFonts w:hint="eastAsia" w:ascii="宋体" w:hAnsi="宋体" w:eastAsia="宋体" w:cs="宋体"/>
          <w:color w:val="auto"/>
          <w:sz w:val="24"/>
          <w:szCs w:val="24"/>
          <w:highlight w:val="none"/>
          <w:u w:val="single"/>
        </w:rPr>
        <w:t xml:space="preserve">》及其他相关国家和地方法律、法规、规章。</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现行有关房屋建筑和市政工程的标准和规范、规程；建筑质量验收评定标准，施工图纸以及设计文件所载明的标准、规范、规程等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按照通用条款执行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开工前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全套图纸（含图纸会审纪要和设计交底等）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项目人员表、投标文件、施工组织设计方案 (包括但不限于质量控制、进度控制、施工安全管理、文明施工管理、施工测量控制、施工人员安排及管理架构、施工材料设备进场计划、成品保护措施等)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通知书发出后10日历天内提供</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纸质书面材料并签字盖章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 7 日历天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承包人应在施工现场另外保存一套完整的图纸和承包人文件，供发包人、监理人及有关人员进行工程检查时使用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施工现场或建设单位办公室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74" w:name="_Toc304295521"/>
      <w:r/>
      <w:bookmarkStart w:id="175" w:name="_Toc303539100"/>
      <w:r/>
      <w:bookmarkStart w:id="176" w:name="_Toc318581155"/>
      <w:r/>
      <w:bookmarkStart w:id="177" w:name="_Toc300934943"/>
      <w:r/>
      <w:bookmarkStart w:id="178" w:name="_Toc312677986"/>
      <w:r>
        <w:rPr>
          <w:rFonts w:hint="eastAsia" w:ascii="宋体" w:hAnsi="宋体" w:eastAsia="宋体" w:cs="宋体"/>
          <w:color w:val="auto"/>
          <w:sz w:val="24"/>
          <w:szCs w:val="24"/>
          <w:highlight w:val="none"/>
        </w:rPr>
        <w:t xml:space="preserve">.10.1 出入现场的权利</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承包人与管理部门联系并承担费用，其他执行通用条款  </w:t>
      </w:r>
      <w:r>
        <w:rPr>
          <w:rFonts w:hint="eastAsia" w:ascii="宋体" w:hAnsi="宋体" w:eastAsia="宋体" w:cs="宋体"/>
          <w:color w:val="auto"/>
          <w:sz w:val="24"/>
          <w:szCs w:val="24"/>
          <w:highlight w:val="none"/>
        </w:rPr>
        <w:t xml:space="preserve">。</w:t>
      </w:r>
      <w:bookmarkEnd w:id="174"/>
      <w:r/>
      <w:bookmarkEnd w:id="175"/>
      <w:r/>
      <w:bookmarkEnd w:id="176"/>
      <w:r/>
      <w:bookmarkEnd w:id="177"/>
      <w:r/>
      <w:bookmarkEnd w:id="17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79" w:name="_Toc318581156"/>
      <w:r/>
      <w:bookmarkStart w:id="180" w:name="_Toc312677987"/>
      <w:r/>
      <w:bookmarkStart w:id="181" w:name="_Toc303539101"/>
      <w:r/>
      <w:bookmarkStart w:id="182" w:name="_Toc304295522"/>
      <w:r/>
      <w:bookmarkStart w:id="183" w:name="_Toc300934944"/>
      <w:r>
        <w:rPr>
          <w:rFonts w:hint="eastAsia" w:ascii="宋体" w:hAnsi="宋体" w:eastAsia="宋体" w:cs="宋体"/>
          <w:color w:val="auto"/>
          <w:sz w:val="24"/>
          <w:szCs w:val="24"/>
          <w:highlight w:val="none"/>
        </w:rPr>
        <w:t xml:space="preserve">.10.3 场内交通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79"/>
      <w:r/>
      <w:bookmarkEnd w:id="180"/>
      <w:r/>
      <w:bookmarkEnd w:id="181"/>
      <w:r/>
      <w:bookmarkEnd w:id="182"/>
      <w:r/>
      <w:bookmarkEnd w:id="183"/>
      <w:r>
        <w:rPr>
          <w:rFonts w:hint="eastAsia" w:ascii="宋体" w:hAnsi="宋体" w:eastAsia="宋体" w:cs="宋体"/>
          <w:color w:val="auto"/>
          <w:sz w:val="24"/>
          <w:szCs w:val="24"/>
          <w:highlight w:val="none"/>
        </w:rPr>
        <w:t xml:space="preserve">  </w:t>
      </w:r>
      <w:bookmarkStart w:id="184" w:name="_Toc31858115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18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 。</w:t>
      </w:r>
      <w:r/>
    </w:p>
    <w:p>
      <w:pPr>
        <w:ind w:left="596"/>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承包人可以为实现合同目的而复制、使用此类文件，但不能用于与合同无关的其他事项。未经发包人同意，承包人不得为了合同以外的目 的而复制、使用上述文件或将之提供给任何第三方。否则，发包人有权对因此造成的全部损失追究承包人责任，承包人的保密责任不因本合同解除、无效或到期后而免除。</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已包含在签约合同价中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按实调整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Cs w:val="32"/>
          <w:highlight w:val="none"/>
        </w:rPr>
      </w:pPr>
      <w:r/>
      <w:bookmarkStart w:id="185" w:name="_Toc351203634"/>
      <w:r>
        <w:rPr>
          <w:rFonts w:hint="eastAsia" w:ascii="宋体" w:hAnsi="宋体" w:eastAsia="宋体" w:cs="宋体"/>
          <w:bCs w:val="0"/>
          <w:color w:val="auto"/>
          <w:szCs w:val="32"/>
          <w:highlight w:val="none"/>
        </w:rPr>
        <w:t xml:space="preserve">2</w:t>
      </w:r>
      <w:bookmarkStart w:id="186" w:name="_Toc297120457"/>
      <w:r/>
      <w:bookmarkStart w:id="187" w:name="_Toc296346658"/>
      <w:r/>
      <w:bookmarkStart w:id="188" w:name="_Toc296503157"/>
      <w:r/>
      <w:bookmarkStart w:id="189" w:name="_Toc297048343"/>
      <w:r/>
      <w:bookmarkStart w:id="190" w:name="_Toc296347156"/>
      <w:r/>
      <w:bookmarkStart w:id="191" w:name="_Toc296890985"/>
      <w:r/>
      <w:bookmarkStart w:id="192" w:name="_Toc292559362"/>
      <w:r/>
      <w:bookmarkStart w:id="193" w:name="_Toc296944496"/>
      <w:r/>
      <w:bookmarkStart w:id="194" w:name="_Toc296891197"/>
      <w:r/>
      <w:bookmarkStart w:id="195" w:name="_Toc292559867"/>
      <w:r>
        <w:rPr>
          <w:rFonts w:hint="eastAsia" w:ascii="宋体" w:hAnsi="宋体" w:eastAsia="宋体" w:cs="宋体"/>
          <w:bCs w:val="0"/>
          <w:color w:val="auto"/>
          <w:szCs w:val="32"/>
          <w:highlight w:val="none"/>
        </w:rPr>
        <w:t xml:space="preserve">. 发包人</w:t>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开工前壹周内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执行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Cs w:val="32"/>
          <w:highlight w:val="none"/>
        </w:rPr>
      </w:pPr>
      <w:r/>
      <w:bookmarkStart w:id="196" w:name="_Toc351203635"/>
      <w:r>
        <w:rPr>
          <w:rFonts w:hint="eastAsia" w:ascii="宋体" w:hAnsi="宋体" w:eastAsia="宋体" w:cs="宋体"/>
          <w:bCs w:val="0"/>
          <w:color w:val="auto"/>
          <w:szCs w:val="32"/>
          <w:highlight w:val="none"/>
        </w:rPr>
        <w:t xml:space="preserve">3</w:t>
      </w:r>
      <w:bookmarkStart w:id="197" w:name="_Toc296891198"/>
      <w:r/>
      <w:bookmarkStart w:id="198" w:name="_Toc292559363"/>
      <w:r/>
      <w:bookmarkStart w:id="199" w:name="_Toc292559868"/>
      <w:r/>
      <w:bookmarkStart w:id="200" w:name="_Toc296347157"/>
      <w:r/>
      <w:bookmarkStart w:id="201" w:name="_Toc296890986"/>
      <w:r/>
      <w:bookmarkStart w:id="202" w:name="_Toc296346659"/>
      <w:r/>
      <w:bookmarkStart w:id="203" w:name="_Toc297120458"/>
      <w:r/>
      <w:bookmarkStart w:id="204" w:name="_Toc296503158"/>
      <w:r/>
      <w:bookmarkStart w:id="205" w:name="_Toc297048344"/>
      <w:r/>
      <w:bookmarkStart w:id="206" w:name="_Toc296944497"/>
      <w:r>
        <w:rPr>
          <w:rFonts w:hint="eastAsia" w:ascii="宋体" w:hAnsi="宋体" w:eastAsia="宋体" w:cs="宋体"/>
          <w:bCs w:val="0"/>
          <w:color w:val="auto"/>
          <w:szCs w:val="32"/>
          <w:highlight w:val="none"/>
        </w:rPr>
        <w:t xml:space="preserve">. 承包人</w:t>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（9）承包人提交的竣工资料的内容：</w:t>
      </w:r>
      <w:r>
        <w:rPr>
          <w:rFonts w:hint="eastAsia" w:ascii="宋体" w:hAnsi="宋体" w:eastAsia="宋体" w:cs="宋体"/>
          <w:color w:val="auto"/>
          <w:sz w:val="24"/>
          <w:szCs w:val="24"/>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肆套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按照法律法规和当地竣工验收备案部门的有关规定</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书面资料</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color w:val="auto"/>
          <w:sz w:val="24"/>
          <w:szCs w:val="24"/>
          <w:highlight w:val="none"/>
          <w:u w:val="single"/>
        </w:rPr>
        <w:t xml:space="preserve">农民工工资支付及担保按照国家、省市相关规定执行。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30万元，由承包人承担由此产生的一切后果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代表承包商履行合同所必需的一切权力</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开工之日起到竣工结束，在保证工程质量、安全、进度的情况下，项目经理每周至少 5 日，每天不少于 8 小时在现场组织施工</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由承包人承担违约责任，责令限期提交劳动合同并补缴社会保险，并扣除履约保证金的10%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由承包人承担违约责任，发包人有权处违约金5000元/人•次(人民币)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由承包人承担违约责任，并扣除履约保证金的20%。</w:t>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  由承包人承担违约责任，并扣除履约保证金的 20%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承包人应在接到开工通知后7天内，向监理人提交承包人项目管理机构及施工现场人员安排的报告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 由承包人承担违约责任， 并扣除履约保证金的10%</w:t>
      </w:r>
      <w:r>
        <w:rPr>
          <w:rFonts w:hint="eastAsia" w:ascii="宋体" w:hAnsi="宋体" w:eastAsia="宋体" w:cs="宋体"/>
          <w:color w:val="auto"/>
          <w:sz w:val="24"/>
          <w:szCs w:val="24"/>
          <w:highlight w:val="none"/>
        </w:rPr>
        <w:t xml:space="preserve">。</w:t>
      </w:r>
      <w:r/>
    </w:p>
    <w:p>
      <w:pPr>
        <w:pStyle w:val="916"/>
        <w:ind w:left="63" w:right="63" w:firstLine="425"/>
        <w:jc w:val="left"/>
        <w:spacing w:before="126" w:line="331"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SA"/>
        </w:rPr>
        <w:t xml:space="preserve">承包人的主要施工人员离开现场每月累计不超过 5 天，应报监理人同意。超过 5 天的，应通知监理人，并征得发包人书面同意。</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 由承包人承担违约责任，并扣除履约保证金的 10 %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 由承包人承担违约责任，发包人有权处违约金 2000 元/人•次(人民币)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07" w:name="_Toc304295523"/>
      <w:r/>
      <w:bookmarkStart w:id="208" w:name="_Toc292559364"/>
      <w:r/>
      <w:bookmarkStart w:id="209" w:name="_Toc296346660"/>
      <w:r/>
      <w:bookmarkStart w:id="210" w:name="_Toc297048345"/>
      <w:r/>
      <w:bookmarkStart w:id="211" w:name="_Toc297216151"/>
      <w:r/>
      <w:bookmarkStart w:id="212" w:name="_Toc292559869"/>
      <w:r/>
      <w:bookmarkStart w:id="213" w:name="_Toc296891199"/>
      <w:r/>
      <w:bookmarkStart w:id="214" w:name="_Toc296347158"/>
      <w:r/>
      <w:bookmarkStart w:id="215" w:name="_Toc296503159"/>
      <w:r/>
      <w:bookmarkStart w:id="216" w:name="_Toc300934945"/>
      <w:r/>
      <w:bookmarkStart w:id="217" w:name="_Toc297123492"/>
      <w:r/>
      <w:bookmarkStart w:id="218" w:name="_Toc297120459"/>
      <w:r/>
      <w:bookmarkStart w:id="219" w:name="_Toc296944498"/>
      <w:r/>
      <w:bookmarkStart w:id="220" w:name="_Toc296890987"/>
      <w:r/>
      <w:bookmarkStart w:id="221" w:name="_Toc303539102"/>
      <w:r/>
      <w:bookmarkStart w:id="222" w:name="_Toc312677988"/>
      <w:r>
        <w:rPr>
          <w:rFonts w:hint="eastAsia" w:ascii="宋体" w:hAnsi="宋体" w:eastAsia="宋体" w:cs="宋体"/>
          <w:color w:val="auto"/>
          <w:sz w:val="24"/>
          <w:szCs w:val="24"/>
          <w:highlight w:val="none"/>
        </w:rPr>
        <w:t xml:space="preserve">.5 分包</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23" w:name="_Toc312677989"/>
      <w:r/>
      <w:bookmarkStart w:id="224" w:name="_Toc296347159"/>
      <w:r/>
      <w:bookmarkStart w:id="225" w:name="_Toc318581158"/>
      <w:r/>
      <w:bookmarkStart w:id="226" w:name="_Toc296503160"/>
      <w:r/>
      <w:bookmarkStart w:id="227" w:name="_Toc303539103"/>
      <w:r/>
      <w:bookmarkStart w:id="228" w:name="_Toc297216152"/>
      <w:r/>
      <w:bookmarkStart w:id="229" w:name="_Toc296944499"/>
      <w:r/>
      <w:bookmarkStart w:id="230" w:name="_Toc292559870"/>
      <w:r/>
      <w:bookmarkStart w:id="231" w:name="_Toc296346661"/>
      <w:r/>
      <w:bookmarkStart w:id="232" w:name="_Toc297120460"/>
      <w:r/>
      <w:bookmarkStart w:id="233" w:name="_Toc296891200"/>
      <w:r/>
      <w:bookmarkStart w:id="234" w:name="_Toc297123493"/>
      <w:r/>
      <w:bookmarkStart w:id="235" w:name="_Toc304295524"/>
      <w:r/>
      <w:bookmarkStart w:id="236" w:name="_Toc292559365"/>
      <w:r/>
      <w:bookmarkStart w:id="237" w:name="_Toc297048346"/>
      <w:r/>
      <w:bookmarkStart w:id="238" w:name="_Toc296890988"/>
      <w:r/>
      <w:bookmarkStart w:id="239" w:name="_Toc300934946"/>
      <w:r>
        <w:rPr>
          <w:rFonts w:hint="eastAsia" w:ascii="宋体" w:hAnsi="宋体" w:eastAsia="宋体" w:cs="宋体"/>
          <w:color w:val="auto"/>
          <w:sz w:val="24"/>
          <w:szCs w:val="24"/>
          <w:highlight w:val="none"/>
        </w:rPr>
        <w:t xml:space="preserve">.5.1 分包的一般约定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pacing w:val="8"/>
          <w:sz w:val="24"/>
          <w:szCs w:val="24"/>
          <w:highlight w:val="none"/>
          <w:u w:val="single"/>
        </w:rPr>
        <w:t xml:space="preserve">法律法规禁止分包的工程</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按规范   </w:t>
      </w:r>
      <w:r>
        <w:rPr>
          <w:rFonts w:hint="eastAsia" w:ascii="宋体" w:hAnsi="宋体" w:eastAsia="宋体" w:cs="宋体"/>
          <w:color w:val="auto"/>
          <w:sz w:val="24"/>
          <w:szCs w:val="24"/>
          <w:highlight w:val="none"/>
        </w:rPr>
        <w:t xml:space="preserve">。</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240" w:name="_Toc318581159"/>
      <w:r/>
      <w:bookmarkStart w:id="241" w:name="_Toc312677990"/>
      <w:r>
        <w:rPr>
          <w:rFonts w:hint="eastAsia" w:ascii="宋体" w:hAnsi="宋体" w:eastAsia="宋体" w:cs="宋体"/>
          <w:color w:val="auto"/>
          <w:sz w:val="24"/>
          <w:szCs w:val="24"/>
          <w:highlight w:val="none"/>
        </w:rPr>
        <w:t xml:space="preserve">.5.2分包的确定</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40"/>
      <w:r/>
      <w:bookmarkEnd w:id="24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发包人向承包人移交施工现场之日起</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w:t>
      </w:r>
      <w:r/>
    </w:p>
    <w:p>
      <w:pPr>
        <w:pStyle w:val="916"/>
        <w:ind w:firstLine="480"/>
        <w:jc w:val="both"/>
        <w:spacing w:before="131" w:line="34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承包人提供履约担保的形式、金额及期限的：</w:t>
      </w:r>
      <w:r>
        <w:rPr>
          <w:rFonts w:hint="eastAsia" w:ascii="宋体" w:hAnsi="宋体" w:eastAsia="宋体" w:cs="宋体"/>
          <w:color w:val="auto"/>
          <w:sz w:val="24"/>
          <w:szCs w:val="24"/>
          <w:highlight w:val="none"/>
          <w:u w:val="single"/>
          <w:lang w:val="en-US" w:eastAsia="zh-CN" w:bidi="ar-SA"/>
        </w:rPr>
        <w:t xml:space="preserve">形式：</w:t>
      </w:r>
      <w:r>
        <w:rPr>
          <w:rFonts w:hint="eastAsia" w:ascii="宋体" w:hAnsi="宋体" w:eastAsia="宋体" w:cs="宋体"/>
          <w:color w:val="000000"/>
          <w:sz w:val="24"/>
          <w:szCs w:val="24"/>
          <w:highlight w:val="none"/>
          <w:u w:val="single"/>
        </w:rPr>
        <w:t xml:space="preserve">采用支票、汇票、本票或者金融机构、担保机构出具的保函、保证保险等非现金形式</w:t>
      </w:r>
      <w:r>
        <w:rPr>
          <w:rFonts w:hint="eastAsia" w:ascii="宋体" w:hAnsi="宋体" w:eastAsia="宋体" w:cs="宋体"/>
          <w:color w:val="auto"/>
          <w:sz w:val="24"/>
          <w:szCs w:val="24"/>
          <w:highlight w:val="none"/>
          <w:u w:val="single"/>
          <w:lang w:val="en-US" w:eastAsia="zh-CN" w:bidi="ar-SA"/>
        </w:rPr>
        <w:t xml:space="preserve">；缴纳金额：中标合同价 10%；缴纳期限：合同签订前 </w:t>
      </w:r>
      <w:r>
        <w:rPr>
          <w:rFonts w:hint="eastAsia" w:ascii="宋体" w:hAnsi="宋体" w:eastAsia="宋体" w:cs="宋体"/>
          <w:color w:val="auto"/>
          <w:sz w:val="24"/>
          <w:szCs w:val="24"/>
          <w:highlight w:val="none"/>
          <w:lang w:val="en-US" w:eastAsia="zh-CN" w:bidi="ar-SA"/>
        </w:rPr>
        <w:t xml:space="preserve">。</w:t>
      </w:r>
      <w:r/>
    </w:p>
    <w:p>
      <w:pPr>
        <w:pStyle w:val="900"/>
        <w:spacing w:line="332" w:lineRule="auto"/>
        <w:rPr>
          <w:rFonts w:hint="eastAsia" w:ascii="宋体" w:hAnsi="宋体" w:eastAsia="宋体" w:cs="宋体"/>
          <w:bCs w:val="0"/>
          <w:color w:val="auto"/>
          <w:szCs w:val="32"/>
          <w:highlight w:val="none"/>
        </w:rPr>
      </w:pPr>
      <w:r/>
      <w:bookmarkStart w:id="242" w:name="_Toc351203636"/>
      <w:r>
        <w:rPr>
          <w:rFonts w:hint="eastAsia" w:ascii="宋体" w:hAnsi="宋体" w:eastAsia="宋体" w:cs="宋体"/>
          <w:bCs w:val="0"/>
          <w:color w:val="auto"/>
          <w:szCs w:val="32"/>
          <w:highlight w:val="none"/>
        </w:rPr>
        <w:t xml:space="preserve">4</w:t>
      </w:r>
      <w:bookmarkStart w:id="243" w:name="_Toc296346663"/>
      <w:r/>
      <w:bookmarkStart w:id="244" w:name="_Toc267251413"/>
      <w:r/>
      <w:bookmarkStart w:id="245" w:name="_Toc292559366"/>
      <w:r/>
      <w:bookmarkStart w:id="246" w:name="_Toc297120462"/>
      <w:r/>
      <w:bookmarkStart w:id="247" w:name="_Toc296890990"/>
      <w:r/>
      <w:bookmarkStart w:id="248" w:name="_Toc292559871"/>
      <w:r/>
      <w:bookmarkStart w:id="249" w:name="_Toc297048348"/>
      <w:r/>
      <w:bookmarkStart w:id="250" w:name="_Toc296503162"/>
      <w:r/>
      <w:bookmarkStart w:id="251" w:name="_Toc296944501"/>
      <w:r/>
      <w:bookmarkStart w:id="252" w:name="_Toc296347161"/>
      <w:r/>
      <w:bookmarkStart w:id="253" w:name="_Toc296891202"/>
      <w:r>
        <w:rPr>
          <w:rFonts w:hint="eastAsia" w:ascii="宋体" w:hAnsi="宋体" w:eastAsia="宋体" w:cs="宋体"/>
          <w:bCs w:val="0"/>
          <w:color w:val="auto"/>
          <w:szCs w:val="32"/>
          <w:highlight w:val="none"/>
        </w:rPr>
        <w:t xml:space="preserve">. 监</w:t>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eastAsia="宋体" w:cs="宋体"/>
          <w:bCs w:val="0"/>
          <w:color w:val="auto"/>
          <w:szCs w:val="32"/>
          <w:highlight w:val="none"/>
        </w:rPr>
        <w:t xml:space="preserve">理人</w:t>
      </w:r>
      <w:bookmarkEnd w:id="242"/>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对本工程施工阶段的质量、进度、造价进行控制，以及对合同、安全 、信息和现场进行管理，涉及工期、质量标准、造价变更的需发包人书面确认 </w:t>
      </w:r>
      <w:r>
        <w:rPr>
          <w:rFonts w:hint="eastAsia" w:ascii="宋体" w:hAnsi="宋体" w:eastAsia="宋体" w:cs="宋体"/>
          <w:color w:val="auto"/>
          <w:sz w:val="24"/>
          <w:szCs w:val="24"/>
          <w:highlight w:val="none"/>
        </w:rPr>
        <w:t xml:space="preserve">。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32" w:lineRule="auto"/>
        <w:rPr>
          <w:rFonts w:hint="eastAsia" w:ascii="宋体" w:hAnsi="宋体" w:eastAsia="宋体" w:cs="宋体"/>
          <w:color w:val="auto"/>
          <w:sz w:val="24"/>
          <w:szCs w:val="24"/>
          <w:highlight w:val="none"/>
        </w:rPr>
      </w:pPr>
      <w:r/>
      <w:bookmarkStart w:id="254"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Cs w:val="32"/>
          <w:highlight w:val="none"/>
        </w:rPr>
      </w:pPr>
      <w:r/>
      <w:bookmarkStart w:id="255" w:name="_Toc351203637"/>
      <w:r>
        <w:rPr>
          <w:rFonts w:hint="eastAsia" w:ascii="宋体" w:hAnsi="宋体" w:eastAsia="宋体" w:cs="宋体"/>
          <w:bCs w:val="0"/>
          <w:color w:val="auto"/>
          <w:szCs w:val="32"/>
          <w:highlight w:val="none"/>
        </w:rPr>
        <w:t xml:space="preserve">5</w:t>
      </w:r>
      <w:bookmarkEnd w:id="254"/>
      <w:r/>
      <w:bookmarkStart w:id="256" w:name="_Toc296890991"/>
      <w:r/>
      <w:bookmarkStart w:id="257" w:name="_Toc292559367"/>
      <w:r/>
      <w:bookmarkStart w:id="258" w:name="_Toc297120463"/>
      <w:r/>
      <w:bookmarkStart w:id="259" w:name="_Toc296503163"/>
      <w:r/>
      <w:bookmarkStart w:id="260" w:name="_Toc296347162"/>
      <w:r/>
      <w:bookmarkStart w:id="261" w:name="_Toc292559872"/>
      <w:r/>
      <w:bookmarkStart w:id="262" w:name="_Toc296944502"/>
      <w:r/>
      <w:bookmarkStart w:id="263" w:name="_Toc297048349"/>
      <w:r/>
      <w:bookmarkStart w:id="264" w:name="_Toc296891203"/>
      <w:r/>
      <w:bookmarkStart w:id="265" w:name="_Toc296346664"/>
      <w:r>
        <w:rPr>
          <w:rFonts w:hint="eastAsia" w:ascii="宋体" w:hAnsi="宋体" w:eastAsia="宋体" w:cs="宋体"/>
          <w:bCs w:val="0"/>
          <w:color w:val="auto"/>
          <w:szCs w:val="32"/>
          <w:highlight w:val="none"/>
        </w:rPr>
        <w:t xml:space="preserve">. 工程质量</w:t>
      </w:r>
      <w:bookmarkEnd w:id="25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bookmarkStart w:id="266" w:name="_Toc312677997"/>
      <w:r/>
      <w:bookmarkStart w:id="267" w:name="_Toc303539106"/>
      <w:r/>
      <w:bookmarkStart w:id="268" w:name="_Toc318581164"/>
      <w:r/>
      <w:bookmarkStart w:id="269" w:name="_Toc304295527"/>
      <w:r/>
      <w:bookmarkStart w:id="270" w:name="_Toc300934949"/>
      <w:r/>
      <w:bookmarkStart w:id="271" w:name="_Toc297123496"/>
      <w:r/>
      <w:bookmarkStart w:id="272" w:name="_Toc297216155"/>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 检查前48小时书面通知监理人检查</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900"/>
        <w:spacing w:line="332" w:lineRule="auto"/>
        <w:rPr>
          <w:rFonts w:hint="eastAsia" w:ascii="宋体" w:hAnsi="宋体" w:eastAsia="宋体" w:cs="宋体"/>
          <w:bCs w:val="0"/>
          <w:color w:val="auto"/>
          <w:szCs w:val="32"/>
          <w:highlight w:val="none"/>
        </w:rPr>
      </w:pPr>
      <w:r/>
      <w:bookmarkStart w:id="273" w:name="_Toc351203638"/>
      <w:r>
        <w:rPr>
          <w:rFonts w:hint="eastAsia" w:ascii="宋体" w:hAnsi="宋体" w:eastAsia="宋体" w:cs="宋体"/>
          <w:bCs w:val="0"/>
          <w:color w:val="auto"/>
          <w:szCs w:val="32"/>
          <w:highlight w:val="none"/>
        </w:rPr>
        <w:t xml:space="preserve">6. 安全文明施工与环境保护</w:t>
      </w:r>
      <w:bookmarkEnd w:id="27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 安全无事故。非发包人原因引起的安全质量事故由承包人负责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本工程承包人应遵守工程建设安全生产有关管理规定 ，严格按安全标准组织施 工，并随 时接受行业安全检查人员依法实施的监督检查，采取必要的安全防护措施，消除事故隐患。 由于承包人安全措施不力造成事故的责任和因此发生的费用，由承包人承担。</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承包人必须成立项目安全管理小组，所有全部工程施工过程均必须有安全管理人员 在施工现场，实施安全监督。</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 承包人在施工组织安排时，要充分考虑施工条件的影响。施工现场内、外的设置临 时交通安全设施。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 由承包人承担。其它按通用条款执行。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承包人须编制施工场地治安管理计划，建立健全施工现场治安保卫制度及管理责任制，并制定应对突发治安事件的应急预案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承包人应根据创建文明施工现场的要求，保证工地周围工程及设施完好。施工期间乙方必须服从招标人派出的工程管理人员和监理人员的指导、监督，工程竣工结束，承包人负责清运自身生活、改造拆除等建筑垃圾，保证场地整洁、符合要求。</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按国家规定比例，该费用包含在首次付款中 。</w:t>
      </w:r>
      <w:bookmarkEnd w:id="266"/>
      <w:r/>
      <w:bookmarkEnd w:id="267"/>
      <w:r/>
      <w:bookmarkEnd w:id="268"/>
      <w:r/>
      <w:bookmarkEnd w:id="269"/>
      <w:r/>
      <w:bookmarkEnd w:id="270"/>
      <w:r/>
      <w:bookmarkEnd w:id="271"/>
      <w:r/>
      <w:bookmarkEnd w:id="272"/>
      <w:r/>
      <w:r/>
    </w:p>
    <w:p>
      <w:pPr>
        <w:pStyle w:val="900"/>
        <w:spacing w:line="332" w:lineRule="auto"/>
        <w:rPr>
          <w:rFonts w:hint="eastAsia" w:ascii="宋体" w:hAnsi="宋体" w:eastAsia="宋体" w:cs="宋体"/>
          <w:bCs w:val="0"/>
          <w:color w:val="auto"/>
          <w:szCs w:val="32"/>
          <w:highlight w:val="none"/>
        </w:rPr>
      </w:pPr>
      <w:r/>
      <w:bookmarkStart w:id="274" w:name="_Toc351203639"/>
      <w:r>
        <w:rPr>
          <w:rFonts w:hint="eastAsia" w:ascii="宋体" w:hAnsi="宋体" w:eastAsia="宋体" w:cs="宋体"/>
          <w:bCs w:val="0"/>
          <w:color w:val="auto"/>
          <w:szCs w:val="32"/>
          <w:highlight w:val="none"/>
        </w:rPr>
        <w:t xml:space="preserve">7. 工期和进度</w:t>
      </w:r>
      <w:bookmarkEnd w:id="27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 1、施工期间交通组织及交通安全的保证措施； 2、根据合同的要求编写详细的《施工进度计划》 (此计划应包括但不仅限于：分部分项工程施工进度安排、精确到以“周 ”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75" w:name="_Toc312678005"/>
      <w:r/>
      <w:bookmarkStart w:id="276" w:name="_Toc303539123"/>
      <w:r/>
      <w:bookmarkStart w:id="277" w:name="_Toc312677479"/>
      <w:r/>
      <w:bookmarkStart w:id="278" w:name="_Toc297216173"/>
      <w:r/>
      <w:bookmarkStart w:id="279" w:name="_Toc297123514"/>
      <w:r/>
      <w:bookmarkStart w:id="280" w:name="_Toc300934966"/>
      <w:r/>
      <w:bookmarkStart w:id="281" w:name="_Toc304295541"/>
      <w:r>
        <w:rPr>
          <w:rFonts w:hint="eastAsia" w:ascii="宋体" w:hAnsi="宋体" w:eastAsia="宋体" w:cs="宋体"/>
          <w:color w:val="auto"/>
          <w:sz w:val="24"/>
          <w:szCs w:val="24"/>
          <w:highlight w:val="none"/>
        </w:rPr>
        <w:t xml:space="preserve">.2 施工进度计划</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645"/>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275"/>
      <w:r/>
      <w:bookmarkEnd w:id="276"/>
      <w:r/>
      <w:bookmarkEnd w:id="277"/>
      <w:r/>
      <w:bookmarkEnd w:id="278"/>
      <w:r/>
      <w:bookmarkEnd w:id="279"/>
      <w:r/>
      <w:bookmarkEnd w:id="280"/>
      <w:r/>
      <w:bookmarkEnd w:id="28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82" w:name="_Toc312677484"/>
      <w:r/>
      <w:bookmarkStart w:id="283" w:name="_Toc297123516"/>
      <w:r/>
      <w:bookmarkStart w:id="284" w:name="_Toc312678010"/>
      <w:r/>
      <w:bookmarkStart w:id="285" w:name="_Toc297216175"/>
      <w:r/>
      <w:bookmarkStart w:id="286" w:name="_Toc300934968"/>
      <w:r/>
      <w:bookmarkStart w:id="287" w:name="_Toc304295546"/>
      <w:r/>
      <w:bookmarkStart w:id="288" w:name="_Toc303539125"/>
      <w:r>
        <w:rPr>
          <w:rFonts w:hint="eastAsia" w:ascii="宋体" w:hAnsi="宋体" w:eastAsia="宋体" w:cs="宋体"/>
          <w:color w:val="auto"/>
          <w:sz w:val="24"/>
          <w:szCs w:val="24"/>
          <w:highlight w:val="none"/>
        </w:rPr>
        <w:t xml:space="preserve">.5 工期延误</w:t>
      </w:r>
      <w:bookmarkEnd w:id="282"/>
      <w:r/>
      <w:bookmarkEnd w:id="283"/>
      <w:r/>
      <w:bookmarkEnd w:id="284"/>
      <w:r/>
      <w:bookmarkEnd w:id="285"/>
      <w:r/>
      <w:bookmarkEnd w:id="286"/>
      <w:r/>
      <w:bookmarkEnd w:id="287"/>
      <w:r/>
      <w:bookmarkEnd w:id="28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89" w:name="_Toc312677486"/>
      <w:r/>
      <w:bookmarkStart w:id="290" w:name="_Toc318581169"/>
      <w:r/>
      <w:bookmarkStart w:id="291" w:name="_Toc312678012"/>
      <w:r/>
      <w:bookmarkStart w:id="292" w:name="_Toc304295548"/>
      <w:r/>
      <w:bookmarkStart w:id="293" w:name="_Toc297216177"/>
      <w:r/>
      <w:bookmarkStart w:id="294" w:name="_Toc303539127"/>
      <w:r/>
      <w:bookmarkStart w:id="295" w:name="_Toc300934970"/>
      <w:r/>
      <w:bookmarkStart w:id="296" w:name="_Toc297123518"/>
      <w:r>
        <w:rPr>
          <w:rFonts w:hint="eastAsia" w:ascii="宋体" w:hAnsi="宋体" w:eastAsia="宋体" w:cs="宋体"/>
          <w:color w:val="auto"/>
          <w:sz w:val="24"/>
          <w:szCs w:val="24"/>
          <w:highlight w:val="none"/>
        </w:rPr>
        <w:t xml:space="preserve">.5.2 因承包人原因导致工期延误</w:t>
      </w:r>
      <w:bookmarkEnd w:id="289"/>
      <w:r/>
      <w:bookmarkEnd w:id="290"/>
      <w:r/>
      <w:bookmarkEnd w:id="291"/>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297" w:name="_Toc312677487"/>
      <w:r/>
      <w:bookmarkStart w:id="298" w:name="_Toc318581170"/>
      <w:r/>
      <w:bookmarkStart w:id="299" w:name="_Toc312678013"/>
      <w:r>
        <w:rPr>
          <w:rFonts w:hint="eastAsia" w:ascii="宋体" w:hAnsi="宋体" w:eastAsia="宋体" w:cs="宋体"/>
          <w:color w:val="auto"/>
          <w:sz w:val="24"/>
          <w:szCs w:val="24"/>
          <w:highlight w:val="none"/>
        </w:rPr>
        <w:t xml:space="preserve">承包人原因造成工期延误，逾期竣工违约金的计算方法为：</w:t>
      </w:r>
      <w:bookmarkEnd w:id="292"/>
      <w:r/>
      <w:bookmarkEnd w:id="293"/>
      <w:r/>
      <w:bookmarkEnd w:id="294"/>
      <w:r/>
      <w:bookmarkEnd w:id="295"/>
      <w:r/>
      <w:bookmarkEnd w:id="296"/>
      <w:r/>
      <w:bookmarkEnd w:id="297"/>
      <w:r/>
      <w:bookmarkEnd w:id="298"/>
      <w:r/>
      <w:bookmarkEnd w:id="299"/>
      <w:r/>
      <w:bookmarkStart w:id="300" w:name="_Toc318581171"/>
      <w:r/>
      <w:bookmarkStart w:id="301" w:name="_Toc312678014"/>
      <w:r>
        <w:rPr>
          <w:rFonts w:hint="eastAsia" w:ascii="宋体" w:hAnsi="宋体" w:eastAsia="宋体" w:cs="宋体"/>
          <w:color w:val="auto"/>
          <w:sz w:val="24"/>
          <w:szCs w:val="24"/>
          <w:highlight w:val="none"/>
          <w:u w:val="single"/>
        </w:rPr>
        <w:t xml:space="preserve"> 扣除</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000元/天。 (该款项从工程款中直接扣除且结算时不予返还。如因承包人原因造成延误工期较多，造成发包人较大损失的，发包人除要求承包人赔偿外，有权依法追究中标人的相关责任)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全部的履约保证金。</w:t>
      </w:r>
      <w:bookmarkEnd w:id="300"/>
      <w:r/>
      <w:bookmarkEnd w:id="30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02" w:name="_Toc303539128"/>
      <w:r/>
      <w:bookmarkStart w:id="303" w:name="_Toc297216178"/>
      <w:r/>
      <w:bookmarkStart w:id="304" w:name="_Toc300934971"/>
      <w:r/>
      <w:bookmarkStart w:id="305" w:name="_Toc312678015"/>
      <w:r/>
      <w:bookmarkStart w:id="306" w:name="_Toc297123519"/>
      <w:r/>
      <w:bookmarkStart w:id="307" w:name="_Toc304295549"/>
      <w:r>
        <w:rPr>
          <w:rFonts w:hint="eastAsia" w:ascii="宋体" w:hAnsi="宋体" w:eastAsia="宋体" w:cs="宋体"/>
          <w:color w:val="auto"/>
          <w:sz w:val="24"/>
          <w:szCs w:val="24"/>
          <w:highlight w:val="none"/>
        </w:rPr>
        <w:t xml:space="preserve">.6 不</w:t>
      </w:r>
      <w:bookmarkEnd w:id="302"/>
      <w:r/>
      <w:bookmarkEnd w:id="303"/>
      <w:r/>
      <w:bookmarkEnd w:id="304"/>
      <w:r/>
      <w:bookmarkEnd w:id="305"/>
      <w:r/>
      <w:bookmarkEnd w:id="306"/>
      <w:r/>
      <w:bookmarkEnd w:id="307"/>
      <w:r>
        <w:rPr>
          <w:rFonts w:hint="eastAsia" w:ascii="宋体" w:hAnsi="宋体" w:eastAsia="宋体" w:cs="宋体"/>
          <w:color w:val="auto"/>
          <w:sz w:val="24"/>
          <w:szCs w:val="24"/>
          <w:highlight w:val="none"/>
        </w:rPr>
        <w:t xml:space="preserve">利物质条件</w:t>
      </w:r>
      <w:r/>
    </w:p>
    <w:p>
      <w:pPr>
        <w:ind w:firstLine="480"/>
        <w:jc w:val="left"/>
        <w:spacing w:line="332" w:lineRule="auto"/>
        <w:rPr>
          <w:rFonts w:hint="eastAsia" w:ascii="宋体" w:hAnsi="宋体" w:eastAsia="宋体" w:cs="宋体"/>
          <w:color w:val="auto"/>
          <w:sz w:val="24"/>
          <w:szCs w:val="24"/>
          <w:highlight w:val="none"/>
        </w:rPr>
      </w:pPr>
      <w:r/>
      <w:bookmarkStart w:id="308" w:name="_Toc318581172"/>
      <w:r/>
      <w:bookmarkStart w:id="309" w:name="_Toc304295550"/>
      <w:r/>
      <w:bookmarkStart w:id="310" w:name="_Toc312678016"/>
      <w:r/>
      <w:bookmarkStart w:id="311" w:name="_Toc297216179"/>
      <w:r/>
      <w:bookmarkStart w:id="312" w:name="_Toc300934972"/>
      <w:r/>
      <w:bookmarkStart w:id="313" w:name="_Toc303539129"/>
      <w:r/>
      <w:bookmarkStart w:id="314" w:name="_Toc297123520"/>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bookmarkEnd w:id="308"/>
      <w:r/>
      <w:bookmarkEnd w:id="309"/>
      <w:r/>
      <w:bookmarkEnd w:id="310"/>
      <w:r/>
      <w:bookmarkEnd w:id="311"/>
      <w:r/>
      <w:bookmarkEnd w:id="312"/>
      <w:r/>
      <w:bookmarkEnd w:id="313"/>
      <w:r/>
      <w:bookmarkEnd w:id="31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315" w:name="_Toc312678017"/>
      <w:r/>
      <w:bookmarkStart w:id="316" w:name="_Toc297123521"/>
      <w:r/>
      <w:bookmarkStart w:id="317" w:name="_Toc300934973"/>
      <w:r/>
      <w:bookmarkStart w:id="318" w:name="_Toc304295551"/>
      <w:r/>
      <w:bookmarkStart w:id="319" w:name="_Toc303539130"/>
      <w:r/>
      <w:bookmarkStart w:id="320" w:name="_Toc297216180"/>
      <w:r>
        <w:rPr>
          <w:rFonts w:hint="eastAsia" w:ascii="宋体" w:hAnsi="宋体" w:eastAsia="宋体" w:cs="宋体"/>
          <w:color w:val="auto"/>
          <w:sz w:val="24"/>
          <w:szCs w:val="24"/>
          <w:highlight w:val="none"/>
        </w:rPr>
        <w:t xml:space="preserve">.7异常恶劣的气候条件</w:t>
      </w:r>
      <w:bookmarkEnd w:id="315"/>
      <w:r/>
      <w:bookmarkEnd w:id="316"/>
      <w:r/>
      <w:bookmarkEnd w:id="317"/>
      <w:r/>
      <w:bookmarkEnd w:id="318"/>
      <w:r/>
      <w:bookmarkEnd w:id="319"/>
      <w:r/>
      <w:bookmarkEnd w:id="32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政府相关部门确认的恶劣气候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其他另行协商                   ；</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                           。</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Cs w:val="32"/>
          <w:highlight w:val="none"/>
        </w:rPr>
      </w:pPr>
      <w:r/>
      <w:bookmarkStart w:id="321" w:name="_Toc351203640"/>
      <w:r>
        <w:rPr>
          <w:rFonts w:hint="eastAsia" w:ascii="宋体" w:hAnsi="宋体" w:eastAsia="宋体" w:cs="宋体"/>
          <w:bCs w:val="0"/>
          <w:color w:val="auto"/>
          <w:szCs w:val="32"/>
          <w:highlight w:val="none"/>
        </w:rPr>
        <w:t xml:space="preserve">8. 材料与设备</w:t>
      </w:r>
      <w:bookmarkEnd w:id="256"/>
      <w:r/>
      <w:bookmarkEnd w:id="257"/>
      <w:r/>
      <w:bookmarkEnd w:id="258"/>
      <w:r/>
      <w:bookmarkEnd w:id="259"/>
      <w:r/>
      <w:bookmarkEnd w:id="260"/>
      <w:r/>
      <w:bookmarkEnd w:id="261"/>
      <w:r/>
      <w:bookmarkEnd w:id="262"/>
      <w:r/>
      <w:bookmarkEnd w:id="263"/>
      <w:r/>
      <w:bookmarkEnd w:id="264"/>
      <w:r/>
      <w:bookmarkEnd w:id="265"/>
      <w:r/>
      <w:bookmarkEnd w:id="32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322" w:name="_Toc297048353"/>
      <w:r/>
      <w:bookmarkStart w:id="323" w:name="_Toc303539136"/>
      <w:r/>
      <w:bookmarkStart w:id="324" w:name="_Toc292559372"/>
      <w:r/>
      <w:bookmarkStart w:id="325" w:name="_Toc292559877"/>
      <w:r/>
      <w:bookmarkStart w:id="326" w:name="_Toc296891207"/>
      <w:r/>
      <w:bookmarkStart w:id="327" w:name="_Toc296347166"/>
      <w:r/>
      <w:bookmarkStart w:id="328" w:name="_Toc296890995"/>
      <w:r/>
      <w:bookmarkStart w:id="329" w:name="_Toc296944506"/>
      <w:r/>
      <w:bookmarkStart w:id="330" w:name="_Toc304295556"/>
      <w:r/>
      <w:bookmarkStart w:id="331" w:name="_Toc300934979"/>
      <w:r/>
      <w:bookmarkStart w:id="332" w:name="_Toc297216186"/>
      <w:r/>
      <w:bookmarkStart w:id="333" w:name="_Toc312677493"/>
      <w:r/>
      <w:bookmarkStart w:id="334" w:name="_Toc280868654"/>
      <w:r/>
      <w:bookmarkStart w:id="335" w:name="_Toc297120467"/>
      <w:r/>
      <w:bookmarkStart w:id="336" w:name="_Toc312678019"/>
      <w:r/>
      <w:bookmarkStart w:id="337" w:name="_Toc297123527"/>
      <w:r/>
      <w:bookmarkStart w:id="338" w:name="_Toc296346668"/>
      <w:r/>
      <w:bookmarkStart w:id="339" w:name="_Toc296503167"/>
      <w:r/>
      <w:bookmarkStart w:id="340" w:name="_Toc267251424"/>
      <w:r/>
      <w:bookmarkStart w:id="341" w:name="_Toc280868655"/>
      <w:r/>
      <w:bookmarkStart w:id="342" w:name="_Toc280868656"/>
      <w:r>
        <w:rPr>
          <w:rFonts w:hint="eastAsia" w:ascii="宋体" w:hAnsi="宋体" w:eastAsia="宋体" w:cs="宋体"/>
          <w:color w:val="auto"/>
          <w:sz w:val="24"/>
          <w:szCs w:val="24"/>
          <w:highlight w:val="none"/>
        </w:rPr>
        <w:t xml:space="preserve">.4材料与工程设备的保管与使用</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343" w:name="_Toc292559373"/>
      <w:r/>
      <w:bookmarkStart w:id="344" w:name="_Toc292559878"/>
      <w:r/>
      <w:bookmarkStart w:id="345" w:name="_Toc296890996"/>
      <w:r/>
      <w:bookmarkStart w:id="346" w:name="_Toc297120468"/>
      <w:r/>
      <w:bookmarkStart w:id="347" w:name="_Toc300934980"/>
      <w:r/>
      <w:bookmarkStart w:id="348" w:name="_Toc318581173"/>
      <w:r/>
      <w:bookmarkStart w:id="349" w:name="_Toc296346669"/>
      <w:r/>
      <w:bookmarkStart w:id="350" w:name="_Toc296944507"/>
      <w:r/>
      <w:bookmarkStart w:id="351" w:name="_Toc297048354"/>
      <w:r/>
      <w:bookmarkStart w:id="352" w:name="_Toc304295557"/>
      <w:r/>
      <w:bookmarkStart w:id="353" w:name="_Toc296347167"/>
      <w:r/>
      <w:bookmarkStart w:id="354" w:name="_Toc312678020"/>
      <w:r/>
      <w:bookmarkStart w:id="355" w:name="_Toc296891208"/>
      <w:r/>
      <w:bookmarkStart w:id="356" w:name="_Toc303539137"/>
      <w:r/>
      <w:bookmarkStart w:id="357" w:name="_Toc297216187"/>
      <w:r/>
      <w:bookmarkStart w:id="358" w:name="_Toc297123528"/>
      <w:r/>
      <w:bookmarkStart w:id="359" w:name="_Toc296503168"/>
      <w:r/>
      <w:bookmarkStart w:id="360" w:name="_Toc312677494"/>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 发包人供应的材料和工程设备，承包人清点后由承包人妥善保管，保管费用由承包人承担 。</w:t>
      </w:r>
      <w:bookmarkEnd w:id="343"/>
      <w:r/>
      <w:bookmarkEnd w:id="34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样品</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样品的报送与封存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工程使用的</w:t>
      </w:r>
      <w:r>
        <w:rPr>
          <w:rFonts w:hint="eastAsia" w:ascii="宋体" w:hAnsi="宋体" w:eastAsia="宋体" w:cs="宋体"/>
          <w:color w:val="auto"/>
          <w:sz w:val="24"/>
          <w:szCs w:val="24"/>
          <w:highlight w:val="none"/>
          <w:u w:val="single"/>
          <w:lang w:eastAsia="zh-CN"/>
        </w:rPr>
        <w:t xml:space="preserve">所有</w:t>
      </w:r>
      <w:r>
        <w:rPr>
          <w:rFonts w:hint="eastAsia" w:ascii="宋体" w:hAnsi="宋体" w:eastAsia="宋体" w:cs="宋体"/>
          <w:color w:val="auto"/>
          <w:sz w:val="24"/>
          <w:szCs w:val="24"/>
          <w:highlight w:val="none"/>
          <w:u w:val="single"/>
        </w:rPr>
        <w:t xml:space="preserve">材料和设</w:t>
      </w:r>
      <w:r>
        <w:rPr>
          <w:rFonts w:hint="eastAsia" w:ascii="宋体" w:hAnsi="宋体" w:eastAsia="宋体" w:cs="宋体"/>
          <w:color w:val="auto"/>
          <w:sz w:val="24"/>
          <w:szCs w:val="24"/>
          <w:highlight w:val="none"/>
          <w:u w:val="single"/>
          <w:lang w:eastAsia="zh-CN"/>
        </w:rPr>
        <w:t xml:space="preserve">备及</w:t>
      </w:r>
      <w:r>
        <w:rPr>
          <w:rFonts w:hint="eastAsia" w:ascii="宋体" w:hAnsi="宋体" w:eastAsia="宋体" w:cs="宋体"/>
          <w:color w:val="auto"/>
          <w:sz w:val="24"/>
          <w:szCs w:val="24"/>
          <w:highlight w:val="none"/>
          <w:u w:val="single"/>
        </w:rPr>
        <w:t xml:space="preserve">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控制价编制说明要求。</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施工设备和临时设施</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z w:val="24"/>
          <w:szCs w:val="24"/>
          <w:highlight w:val="none"/>
          <w:u w:val="single"/>
        </w:rPr>
        <w:t xml:space="preserve">承包人自行承担修建临时设施的费用，需要临时占地的，发包人帮助承包人进行协调，但费用由承包人承担。</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pStyle w:val="900"/>
        <w:spacing w:line="332" w:lineRule="auto"/>
        <w:rPr>
          <w:rFonts w:hint="eastAsia" w:ascii="宋体" w:hAnsi="宋体" w:eastAsia="宋体" w:cs="宋体"/>
          <w:bCs w:val="0"/>
          <w:color w:val="auto"/>
          <w:szCs w:val="32"/>
          <w:highlight w:val="none"/>
        </w:rPr>
      </w:pPr>
      <w:r/>
      <w:bookmarkStart w:id="361" w:name="_Toc351203641"/>
      <w:r>
        <w:rPr>
          <w:rFonts w:hint="eastAsia" w:ascii="宋体" w:hAnsi="宋体" w:eastAsia="宋体" w:cs="宋体"/>
          <w:bCs w:val="0"/>
          <w:color w:val="auto"/>
          <w:szCs w:val="32"/>
          <w:highlight w:val="none"/>
        </w:rPr>
        <w:t xml:space="preserve">9</w:t>
      </w:r>
      <w:bookmarkEnd w:id="340"/>
      <w:r/>
      <w:bookmarkEnd w:id="341"/>
      <w:r/>
      <w:bookmarkEnd w:id="342"/>
      <w:r/>
      <w:bookmarkStart w:id="362" w:name="_Toc297123533"/>
      <w:r/>
      <w:bookmarkStart w:id="363" w:name="_Toc304295559"/>
      <w:r/>
      <w:bookmarkStart w:id="364" w:name="_Toc312677495"/>
      <w:r/>
      <w:bookmarkStart w:id="365" w:name="_Toc297216192"/>
      <w:r/>
      <w:bookmarkStart w:id="366" w:name="_Toc312678021"/>
      <w:r/>
      <w:bookmarkStart w:id="367" w:name="_Toc303539139"/>
      <w:r/>
      <w:bookmarkStart w:id="368" w:name="_Toc300934982"/>
      <w:r/>
      <w:bookmarkStart w:id="369" w:name="_Toc292559883"/>
      <w:r/>
      <w:bookmarkStart w:id="370" w:name="_Toc267251428"/>
      <w:r/>
      <w:bookmarkStart w:id="371" w:name="_Toc297048359"/>
      <w:r/>
      <w:bookmarkStart w:id="372" w:name="_Toc296346674"/>
      <w:r/>
      <w:bookmarkStart w:id="373" w:name="_Toc296944512"/>
      <w:r/>
      <w:bookmarkStart w:id="374" w:name="_Toc296891213"/>
      <w:r/>
      <w:bookmarkStart w:id="375" w:name="_Toc296347172"/>
      <w:r/>
      <w:bookmarkStart w:id="376" w:name="_Toc297120473"/>
      <w:r/>
      <w:bookmarkStart w:id="377" w:name="_Toc292559378"/>
      <w:r/>
      <w:bookmarkStart w:id="378" w:name="_Toc296503173"/>
      <w:r/>
      <w:bookmarkStart w:id="379" w:name="_Toc267251427"/>
      <w:r/>
      <w:bookmarkStart w:id="380" w:name="_Toc296891001"/>
      <w:r>
        <w:rPr>
          <w:rFonts w:hint="eastAsia" w:ascii="宋体" w:hAnsi="宋体" w:eastAsia="宋体" w:cs="宋体"/>
          <w:bCs w:val="0"/>
          <w:color w:val="auto"/>
          <w:szCs w:val="32"/>
          <w:highlight w:val="none"/>
        </w:rPr>
        <w:t xml:space="preserve">. 试验与检验</w:t>
      </w:r>
      <w:bookmarkEnd w:id="361"/>
      <w:r/>
      <w:bookmarkEnd w:id="362"/>
      <w:r/>
      <w:bookmarkEnd w:id="363"/>
      <w:r/>
      <w:bookmarkEnd w:id="364"/>
      <w:r/>
      <w:bookmarkEnd w:id="365"/>
      <w:r/>
      <w:bookmarkEnd w:id="366"/>
      <w:r/>
      <w:bookmarkEnd w:id="367"/>
      <w:r/>
      <w:bookmarkEnd w:id="36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81" w:name="_Toc303539140"/>
      <w:r/>
      <w:bookmarkStart w:id="382" w:name="_Toc304295560"/>
      <w:r/>
      <w:bookmarkStart w:id="383" w:name="_Toc300934983"/>
      <w:r/>
      <w:bookmarkStart w:id="384" w:name="_Toc297216193"/>
      <w:r/>
      <w:bookmarkStart w:id="385" w:name="_Toc312677496"/>
      <w:r/>
      <w:bookmarkStart w:id="386" w:name="_Toc297123534"/>
      <w:r/>
      <w:bookmarkStart w:id="387" w:name="_Toc312678022"/>
      <w:r>
        <w:rPr>
          <w:rFonts w:hint="eastAsia" w:ascii="宋体" w:hAnsi="宋体" w:eastAsia="宋体" w:cs="宋体"/>
          <w:color w:val="auto"/>
          <w:sz w:val="24"/>
          <w:szCs w:val="24"/>
          <w:highlight w:val="none"/>
        </w:rPr>
        <w:t xml:space="preserve">.1试验设备与试验人员</w:t>
      </w:r>
      <w:bookmarkEnd w:id="381"/>
      <w:r/>
      <w:bookmarkEnd w:id="382"/>
      <w:r/>
      <w:bookmarkEnd w:id="383"/>
      <w:r/>
      <w:bookmarkEnd w:id="384"/>
      <w:r/>
      <w:bookmarkEnd w:id="385"/>
      <w:r/>
      <w:bookmarkEnd w:id="386"/>
      <w:r/>
      <w:bookmarkEnd w:id="38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88" w:name="_Toc303539141"/>
      <w:r/>
      <w:bookmarkStart w:id="389" w:name="_Toc304295561"/>
      <w:r/>
      <w:bookmarkStart w:id="390" w:name="_Toc297216194"/>
      <w:r/>
      <w:bookmarkStart w:id="391" w:name="_Toc312677497"/>
      <w:r/>
      <w:bookmarkStart w:id="392" w:name="_Toc312678023"/>
      <w:r/>
      <w:bookmarkStart w:id="393" w:name="_Toc300934984"/>
      <w:r/>
      <w:bookmarkStart w:id="394" w:name="_Toc297123535"/>
      <w:r/>
      <w:bookmarkStart w:id="395" w:name="_Toc318581174"/>
      <w:r>
        <w:rPr>
          <w:rFonts w:hint="eastAsia" w:ascii="宋体" w:hAnsi="宋体" w:eastAsia="宋体" w:cs="宋体"/>
          <w:color w:val="auto"/>
          <w:sz w:val="24"/>
          <w:szCs w:val="24"/>
          <w:highlight w:val="none"/>
        </w:rPr>
        <w:t xml:space="preserve">.1.2 试验设备</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388"/>
      <w:r/>
      <w:bookmarkEnd w:id="389"/>
      <w:r/>
      <w:bookmarkEnd w:id="390"/>
      <w:r/>
      <w:bookmarkEnd w:id="391"/>
      <w:r/>
      <w:bookmarkEnd w:id="392"/>
      <w:r/>
      <w:bookmarkEnd w:id="393"/>
      <w:r/>
      <w:bookmarkEnd w:id="394"/>
      <w:r/>
      <w:bookmarkStart w:id="396" w:name="_Toc303539142"/>
      <w:r/>
      <w:bookmarkStart w:id="397" w:name="_Toc312678024"/>
      <w:r/>
      <w:bookmarkStart w:id="398" w:name="_Toc300934985"/>
      <w:r/>
      <w:bookmarkStart w:id="399" w:name="_Toc312677498"/>
      <w:r/>
      <w:bookmarkStart w:id="400" w:name="_Toc297123536"/>
      <w:r/>
      <w:bookmarkStart w:id="401" w:name="_Toc304295562"/>
      <w:r/>
      <w:bookmarkStart w:id="402" w:name="_Toc297216195"/>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95"/>
      <w:r/>
      <w:bookmarkEnd w:id="396"/>
      <w:r/>
      <w:bookmarkEnd w:id="397"/>
      <w:r/>
      <w:bookmarkEnd w:id="398"/>
      <w:r/>
      <w:bookmarkEnd w:id="399"/>
      <w:r/>
      <w:bookmarkEnd w:id="400"/>
      <w:r/>
      <w:bookmarkEnd w:id="401"/>
      <w:r/>
      <w:bookmarkEnd w:id="402"/>
      <w:r/>
      <w:r/>
    </w:p>
    <w:p>
      <w:pPr>
        <w:pStyle w:val="900"/>
        <w:spacing w:line="332" w:lineRule="auto"/>
        <w:rPr>
          <w:rFonts w:hint="eastAsia" w:ascii="宋体" w:hAnsi="宋体" w:eastAsia="宋体" w:cs="宋体"/>
          <w:bCs w:val="0"/>
          <w:color w:val="auto"/>
          <w:szCs w:val="32"/>
          <w:highlight w:val="none"/>
        </w:rPr>
      </w:pPr>
      <w:r/>
      <w:bookmarkStart w:id="403" w:name="_Toc351203642"/>
      <w:r>
        <w:rPr>
          <w:rFonts w:hint="eastAsia" w:ascii="宋体" w:hAnsi="宋体" w:eastAsia="宋体" w:cs="宋体"/>
          <w:bCs w:val="0"/>
          <w:color w:val="auto"/>
          <w:szCs w:val="32"/>
          <w:highlight w:val="none"/>
        </w:rPr>
        <w:t xml:space="preserve">1</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Start w:id="404" w:name="_Toc292559903"/>
      <w:r/>
      <w:bookmarkStart w:id="405" w:name="_Toc297120493"/>
      <w:r/>
      <w:bookmarkStart w:id="406" w:name="_Toc296347192"/>
      <w:r/>
      <w:bookmarkStart w:id="407" w:name="_Toc296891021"/>
      <w:r/>
      <w:bookmarkStart w:id="408" w:name="_Toc300934989"/>
      <w:r/>
      <w:bookmarkStart w:id="409" w:name="_Toc296891233"/>
      <w:r/>
      <w:bookmarkStart w:id="410" w:name="_Toc292559398"/>
      <w:r/>
      <w:bookmarkStart w:id="411" w:name="_Toc296944532"/>
      <w:r/>
      <w:bookmarkStart w:id="412" w:name="_Toc296346694"/>
      <w:r/>
      <w:bookmarkStart w:id="413" w:name="_Toc303539146"/>
      <w:r/>
      <w:bookmarkStart w:id="414" w:name="_Toc297048379"/>
      <w:r/>
      <w:bookmarkStart w:id="415" w:name="_Toc304295566"/>
      <w:r/>
      <w:bookmarkStart w:id="416" w:name="_Toc297123540"/>
      <w:r/>
      <w:bookmarkStart w:id="417" w:name="_Toc312677499"/>
      <w:r/>
      <w:bookmarkStart w:id="418" w:name="_Toc297216199"/>
      <w:r/>
      <w:bookmarkStart w:id="419" w:name="_Toc296503193"/>
      <w:r/>
      <w:bookmarkStart w:id="420" w:name="_Toc312678025"/>
      <w:r/>
      <w:bookmarkStart w:id="421" w:name="_Toc267251439"/>
      <w:r/>
      <w:bookmarkStart w:id="422" w:name="_Toc267251441"/>
      <w:r/>
      <w:bookmarkStart w:id="423" w:name="_Toc267251435"/>
      <w:r/>
      <w:bookmarkStart w:id="424" w:name="_Toc267251433"/>
      <w:r/>
      <w:bookmarkStart w:id="425" w:name="_Toc267251437"/>
      <w:r/>
      <w:bookmarkStart w:id="426" w:name="_Toc267251440"/>
      <w:r/>
      <w:bookmarkStart w:id="427" w:name="_Toc267251442"/>
      <w:r>
        <w:rPr>
          <w:rFonts w:hint="eastAsia" w:ascii="宋体" w:hAnsi="宋体" w:eastAsia="宋体" w:cs="宋体"/>
          <w:bCs w:val="0"/>
          <w:color w:val="auto"/>
          <w:szCs w:val="32"/>
          <w:highlight w:val="none"/>
        </w:rPr>
        <w:t xml:space="preserve">0. 变更</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28" w:name="_Toc296891022"/>
      <w:r/>
      <w:bookmarkStart w:id="429" w:name="_Toc296503194"/>
      <w:r/>
      <w:bookmarkStart w:id="430" w:name="_Toc297048380"/>
      <w:r/>
      <w:bookmarkStart w:id="431" w:name="_Toc312677500"/>
      <w:r/>
      <w:bookmarkStart w:id="432" w:name="_Toc304295567"/>
      <w:r/>
      <w:bookmarkStart w:id="433" w:name="_Toc303539147"/>
      <w:r/>
      <w:bookmarkStart w:id="434" w:name="_Toc292559399"/>
      <w:r/>
      <w:bookmarkStart w:id="435" w:name="_Toc296944533"/>
      <w:r/>
      <w:bookmarkStart w:id="436" w:name="_Toc296346695"/>
      <w:r/>
      <w:bookmarkStart w:id="437" w:name="_Toc297120494"/>
      <w:r/>
      <w:bookmarkStart w:id="438" w:name="_Toc296347193"/>
      <w:r/>
      <w:bookmarkStart w:id="439" w:name="_Toc296891234"/>
      <w:r/>
      <w:bookmarkStart w:id="440" w:name="_Toc312678026"/>
      <w:r/>
      <w:bookmarkStart w:id="441" w:name="_Toc300934990"/>
      <w:r/>
      <w:bookmarkStart w:id="442" w:name="_Toc297123541"/>
      <w:r/>
      <w:bookmarkStart w:id="443" w:name="_Toc292559904"/>
      <w:r/>
      <w:bookmarkStart w:id="444" w:name="_Toc297216200"/>
      <w:r>
        <w:rPr>
          <w:rFonts w:hint="eastAsia" w:ascii="宋体" w:hAnsi="宋体" w:eastAsia="宋体" w:cs="宋体"/>
          <w:color w:val="auto"/>
          <w:sz w:val="24"/>
          <w:szCs w:val="24"/>
          <w:highlight w:val="none"/>
        </w:rPr>
        <w:t xml:space="preserve">0.1变更的范围</w:t>
      </w:r>
      <w:r/>
    </w:p>
    <w:p>
      <w:pPr>
        <w:ind w:firstLine="60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因工程建设的需要，发包人提出的设计变更要求，承包人必须</w:t>
      </w:r>
      <w:r/>
    </w:p>
    <w:p>
      <w:pPr>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执行。否则视为违约。其他执行合同通用条款</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变更估价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 见</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Start w:id="445" w:name="_Toc303539150"/>
      <w:r/>
      <w:bookmarkStart w:id="446" w:name="_Toc297048383"/>
      <w:r/>
      <w:bookmarkStart w:id="447" w:name="_Toc296944536"/>
      <w:r/>
      <w:bookmarkStart w:id="448" w:name="_Toc297123544"/>
      <w:r/>
      <w:bookmarkStart w:id="449" w:name="_Toc292559907"/>
      <w:r/>
      <w:bookmarkStart w:id="450" w:name="_Toc296891237"/>
      <w:r/>
      <w:bookmarkStart w:id="451" w:name="_Toc296503197"/>
      <w:r/>
      <w:bookmarkStart w:id="452" w:name="_Toc296891025"/>
      <w:r/>
      <w:bookmarkStart w:id="453" w:name="_Toc297216203"/>
      <w:r/>
      <w:bookmarkStart w:id="454" w:name="_Toc300934993"/>
      <w:r/>
      <w:bookmarkStart w:id="455" w:name="_Toc297120497"/>
      <w:r/>
      <w:bookmarkStart w:id="456" w:name="_Toc296347196"/>
      <w:r/>
      <w:bookmarkStart w:id="457" w:name="_Toc292559402"/>
      <w:r/>
      <w:bookmarkStart w:id="458" w:name="_Toc296346698"/>
      <w:r/>
      <w:bookmarkStart w:id="459" w:name="_Toc312677503"/>
      <w:r/>
      <w:bookmarkStart w:id="460" w:name="_Toc304295570"/>
      <w:r/>
      <w:bookmarkStart w:id="461" w:name="_Toc312678029"/>
      <w:r>
        <w:rPr>
          <w:rFonts w:hint="eastAsia" w:ascii="宋体" w:hAnsi="宋体" w:eastAsia="宋体" w:cs="宋体"/>
          <w:color w:val="auto"/>
          <w:sz w:val="24"/>
          <w:szCs w:val="24"/>
          <w:highlight w:val="none"/>
        </w:rPr>
        <w:t xml:space="preserve">0.5承</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2" w:name="_Toc297216204"/>
      <w:r/>
      <w:bookmarkStart w:id="463" w:name="_Toc297123545"/>
      <w:r/>
      <w:bookmarkStart w:id="464" w:name="_Toc303539151"/>
      <w:r/>
      <w:bookmarkStart w:id="465" w:name="_Toc296891031"/>
      <w:r/>
      <w:bookmarkStart w:id="466" w:name="_Toc296891243"/>
      <w:r/>
      <w:bookmarkStart w:id="467" w:name="_Toc297048389"/>
      <w:r/>
      <w:bookmarkStart w:id="468" w:name="_Toc292559913"/>
      <w:r/>
      <w:bookmarkStart w:id="469" w:name="_Toc300934994"/>
      <w:r/>
      <w:bookmarkStart w:id="470" w:name="_Toc296503203"/>
      <w:r/>
      <w:bookmarkStart w:id="471" w:name="_Toc296347202"/>
      <w:r/>
      <w:bookmarkStart w:id="472" w:name="_Toc296944542"/>
      <w:r/>
      <w:bookmarkStart w:id="473" w:name="_Toc296346704"/>
      <w:r/>
      <w:bookmarkStart w:id="474" w:name="_Toc297120503"/>
      <w:r/>
      <w:bookmarkStart w:id="475" w:name="_Toc292559408"/>
      <w:r>
        <w:rPr>
          <w:rFonts w:hint="eastAsia" w:ascii="宋体" w:hAnsi="宋体" w:eastAsia="宋体" w:cs="宋体"/>
          <w:color w:val="auto"/>
          <w:sz w:val="24"/>
          <w:szCs w:val="24"/>
          <w:highlight w:val="none"/>
        </w:rPr>
        <w:t xml:space="preserve">包人的合理化建议</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476" w:name="_Toc297123546"/>
      <w:r/>
      <w:bookmarkStart w:id="477" w:name="_Toc318581175"/>
      <w:r/>
      <w:bookmarkStart w:id="478" w:name="_Toc292559914"/>
      <w:r/>
      <w:bookmarkStart w:id="479" w:name="_Toc296503204"/>
      <w:r/>
      <w:bookmarkStart w:id="480" w:name="_Toc304295571"/>
      <w:r/>
      <w:bookmarkStart w:id="481" w:name="_Toc303539152"/>
      <w:r/>
      <w:bookmarkStart w:id="482" w:name="_Toc296891032"/>
      <w:r/>
      <w:bookmarkStart w:id="483" w:name="_Toc297216205"/>
      <w:r/>
      <w:bookmarkStart w:id="484" w:name="_Toc296346705"/>
      <w:r/>
      <w:bookmarkStart w:id="485" w:name="_Toc312678030"/>
      <w:r/>
      <w:bookmarkStart w:id="486" w:name="_Toc297120504"/>
      <w:r/>
      <w:bookmarkStart w:id="487" w:name="_Toc312677504"/>
      <w:r/>
      <w:bookmarkStart w:id="488" w:name="_Toc300934995"/>
      <w:r/>
      <w:bookmarkStart w:id="489" w:name="_Toc296347203"/>
      <w:r/>
      <w:bookmarkStart w:id="490" w:name="_Toc296944543"/>
      <w:r/>
      <w:bookmarkStart w:id="491" w:name="_Toc297048390"/>
      <w:r/>
      <w:bookmarkStart w:id="492" w:name="_Toc292559409"/>
      <w:r/>
      <w:bookmarkStart w:id="493" w:name="_Toc29689124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p>
    <w:p>
      <w:pPr>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94" w:name="_Toc297123548"/>
      <w:r/>
      <w:bookmarkStart w:id="495" w:name="_Toc297120499"/>
      <w:r/>
      <w:bookmarkStart w:id="496" w:name="_Toc297048385"/>
      <w:r/>
      <w:bookmarkStart w:id="497" w:name="_Toc312677507"/>
      <w:r/>
      <w:bookmarkStart w:id="498" w:name="_Toc292559909"/>
      <w:r/>
      <w:bookmarkStart w:id="499" w:name="_Toc296346700"/>
      <w:r/>
      <w:bookmarkStart w:id="500" w:name="_Toc296503199"/>
      <w:r/>
      <w:bookmarkStart w:id="501" w:name="_Toc304295574"/>
      <w:r/>
      <w:bookmarkStart w:id="502" w:name="_Toc297216207"/>
      <w:r/>
      <w:bookmarkStart w:id="503" w:name="_Toc296891027"/>
      <w:r/>
      <w:bookmarkStart w:id="504" w:name="_Toc296891239"/>
      <w:r/>
      <w:bookmarkStart w:id="505" w:name="_Toc292559404"/>
      <w:r/>
      <w:bookmarkStart w:id="506" w:name="_Toc312678033"/>
      <w:r/>
      <w:bookmarkStart w:id="507" w:name="_Toc296944538"/>
      <w:r/>
      <w:bookmarkStart w:id="508" w:name="_Toc303539154"/>
      <w:r/>
      <w:bookmarkStart w:id="509" w:name="_Toc300934997"/>
      <w:r/>
      <w:bookmarkStart w:id="510" w:name="_Toc296347198"/>
      <w:r>
        <w:rPr>
          <w:rFonts w:hint="eastAsia" w:ascii="宋体" w:hAnsi="宋体" w:eastAsia="宋体" w:cs="宋体"/>
          <w:color w:val="auto"/>
          <w:sz w:val="24"/>
          <w:szCs w:val="24"/>
          <w:highlight w:val="none"/>
        </w:rPr>
        <w:t xml:space="preserve">0.7 暂估价</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511" w:name="_Toc312677508"/>
      <w:r/>
      <w:bookmarkStart w:id="512" w:name="_Toc312678034"/>
      <w:r/>
      <w:bookmarkStart w:id="513" w:name="_Toc318581176"/>
      <w:r>
        <w:rPr>
          <w:rFonts w:hint="eastAsia" w:ascii="宋体" w:hAnsi="宋体" w:eastAsia="宋体" w:cs="宋体"/>
          <w:color w:val="auto"/>
          <w:sz w:val="24"/>
          <w:szCs w:val="24"/>
          <w:highlight w:val="none"/>
        </w:rPr>
        <w:t xml:space="preserve">估价材料和工程设备的明细详见附件11：《暂估价一览表》。</w:t>
      </w:r>
      <w:bookmarkEnd w:id="511"/>
      <w:r/>
      <w:bookmarkEnd w:id="512"/>
      <w:r/>
      <w:bookmarkEnd w:id="51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514" w:name="_Toc312678035"/>
      <w:r/>
      <w:bookmarkStart w:id="515" w:name="_Toc318581177"/>
      <w:r/>
      <w:bookmarkStart w:id="516" w:name="_Toc312677509"/>
      <w:r>
        <w:rPr>
          <w:rFonts w:hint="eastAsia" w:ascii="宋体" w:hAnsi="宋体" w:eastAsia="宋体" w:cs="宋体"/>
          <w:color w:val="auto"/>
          <w:sz w:val="24"/>
          <w:szCs w:val="24"/>
          <w:highlight w:val="none"/>
        </w:rPr>
        <w:t xml:space="preserve">0.7.1 依法必须招标的暂估价项目</w:t>
      </w:r>
      <w:bookmarkEnd w:id="514"/>
      <w:r/>
      <w:bookmarkEnd w:id="515"/>
      <w:r/>
      <w:bookmarkEnd w:id="51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种方式确定。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Cs w:val="32"/>
          <w:highlight w:val="none"/>
        </w:rPr>
      </w:pPr>
      <w:r/>
      <w:bookmarkStart w:id="517" w:name="_Toc351203643"/>
      <w:r>
        <w:rPr>
          <w:rFonts w:hint="eastAsia" w:ascii="宋体" w:hAnsi="宋体" w:eastAsia="宋体" w:cs="宋体"/>
          <w:bCs w:val="0"/>
          <w:color w:val="auto"/>
          <w:szCs w:val="32"/>
          <w:highlight w:val="none"/>
        </w:rPr>
        <w:t xml:space="preserve">11. 价格调整</w:t>
      </w:r>
      <w:bookmarkEnd w:id="517"/>
      <w:r/>
      <w:r/>
    </w:p>
    <w:p>
      <w:pPr>
        <w:ind w:firstLine="480"/>
        <w:spacing w:line="332" w:lineRule="auto"/>
        <w:rPr>
          <w:rFonts w:hint="eastAsia" w:ascii="宋体" w:hAnsi="宋体" w:eastAsia="宋体" w:cs="宋体"/>
          <w:color w:val="auto"/>
          <w:sz w:val="24"/>
          <w:szCs w:val="24"/>
          <w:highlight w:val="none"/>
        </w:rPr>
      </w:pPr>
      <w:r/>
      <w:bookmarkStart w:id="518" w:name="_Toc292559406"/>
      <w:r/>
      <w:bookmarkStart w:id="519" w:name="_Toc292559911"/>
      <w:r/>
      <w:bookmarkStart w:id="520" w:name="_Toc297120501"/>
      <w:r/>
      <w:bookmarkStart w:id="521" w:name="_Toc297123550"/>
      <w:r/>
      <w:bookmarkStart w:id="522" w:name="_Toc296944540"/>
      <w:r/>
      <w:bookmarkStart w:id="523" w:name="_Toc312678039"/>
      <w:r/>
      <w:bookmarkStart w:id="524" w:name="_Toc296891029"/>
      <w:r/>
      <w:bookmarkStart w:id="525" w:name="_Toc304295577"/>
      <w:r/>
      <w:bookmarkStart w:id="526" w:name="_Toc296346702"/>
      <w:r/>
      <w:bookmarkStart w:id="527" w:name="_Toc297216209"/>
      <w:r/>
      <w:bookmarkStart w:id="528" w:name="_Toc296347200"/>
      <w:r/>
      <w:bookmarkStart w:id="529" w:name="_Toc296503201"/>
      <w:r/>
      <w:bookmarkStart w:id="530" w:name="_Toc297048387"/>
      <w:r/>
      <w:bookmarkStart w:id="531" w:name="_Toc296891241"/>
      <w:r/>
      <w:bookmarkStart w:id="532" w:name="_Toc303539157"/>
      <w:r/>
      <w:bookmarkStart w:id="533" w:name="_Toc300935000"/>
      <w:r>
        <w:rPr>
          <w:rFonts w:hint="eastAsia" w:ascii="宋体" w:hAnsi="宋体" w:eastAsia="宋体" w:cs="宋体"/>
          <w:color w:val="auto"/>
          <w:sz w:val="24"/>
          <w:szCs w:val="24"/>
          <w:highlight w:val="none"/>
        </w:rPr>
        <w:t xml:space="preserve">11.1 市场价格波动引起的调整</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645"/>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bookmarkEnd w:id="421"/>
      <w:r/>
      <w:bookmarkEnd w:id="422"/>
      <w:r/>
      <w:bookmarkEnd w:id="423"/>
      <w:r/>
      <w:bookmarkEnd w:id="424"/>
      <w:r/>
      <w:bookmarkEnd w:id="425"/>
      <w:r/>
      <w:bookmarkEnd w:id="426"/>
      <w:r/>
      <w:r/>
    </w:p>
    <w:p>
      <w:pPr>
        <w:pStyle w:val="900"/>
        <w:spacing w:line="332" w:lineRule="auto"/>
        <w:rPr>
          <w:rFonts w:hint="eastAsia" w:ascii="宋体" w:hAnsi="宋体" w:eastAsia="宋体" w:cs="宋体"/>
          <w:bCs w:val="0"/>
          <w:color w:val="auto"/>
          <w:szCs w:val="32"/>
          <w:highlight w:val="none"/>
        </w:rPr>
      </w:pPr>
      <w:r/>
      <w:bookmarkStart w:id="534" w:name="_Toc292559915"/>
      <w:r/>
      <w:bookmarkStart w:id="535" w:name="_Toc296944544"/>
      <w:r/>
      <w:bookmarkStart w:id="536" w:name="_Toc297120505"/>
      <w:r/>
      <w:bookmarkStart w:id="537" w:name="_Toc292559410"/>
      <w:r/>
      <w:bookmarkStart w:id="538" w:name="_Toc297048391"/>
      <w:r/>
      <w:bookmarkStart w:id="539" w:name="_Toc296503205"/>
      <w:r/>
      <w:bookmarkStart w:id="540" w:name="_Toc296346706"/>
      <w:r/>
      <w:bookmarkStart w:id="541" w:name="_Toc296347204"/>
      <w:r/>
      <w:bookmarkStart w:id="542" w:name="_Toc296891245"/>
      <w:r/>
      <w:bookmarkStart w:id="543" w:name="_Toc296891033"/>
      <w:r/>
      <w:bookmarkStart w:id="544" w:name="_Toc297123552"/>
      <w:r/>
      <w:bookmarkStart w:id="545" w:name="_Toc304295579"/>
      <w:r/>
      <w:bookmarkStart w:id="546" w:name="_Toc303539159"/>
      <w:r/>
      <w:bookmarkStart w:id="547" w:name="_Toc312678040"/>
      <w:r/>
      <w:bookmarkStart w:id="548" w:name="_Toc351203644"/>
      <w:r/>
      <w:bookmarkStart w:id="549" w:name="_Toc297216211"/>
      <w:r/>
      <w:bookmarkStart w:id="550" w:name="_Toc300935002"/>
      <w:r>
        <w:rPr>
          <w:rFonts w:hint="eastAsia" w:ascii="宋体" w:hAnsi="宋体" w:eastAsia="宋体" w:cs="宋体"/>
          <w:bCs w:val="0"/>
          <w:color w:val="auto"/>
          <w:szCs w:val="32"/>
          <w:highlight w:val="none"/>
        </w:rPr>
        <w:t xml:space="preserve">12. </w:t>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eastAsia="宋体" w:cs="宋体"/>
          <w:bCs w:val="0"/>
          <w:color w:val="auto"/>
          <w:szCs w:val="32"/>
          <w:highlight w:val="none"/>
        </w:rPr>
        <w:t xml:space="preserve">合同价格、计量与支付</w:t>
      </w:r>
      <w:bookmarkEnd w:id="544"/>
      <w:r/>
      <w:bookmarkEnd w:id="545"/>
      <w:r/>
      <w:bookmarkEnd w:id="546"/>
      <w:r/>
      <w:bookmarkEnd w:id="547"/>
      <w:r/>
      <w:bookmarkEnd w:id="548"/>
      <w:r/>
      <w:bookmarkEnd w:id="549"/>
      <w:r/>
      <w:bookmarkEnd w:id="550"/>
      <w:r/>
      <w:r/>
    </w:p>
    <w:p>
      <w:pPr>
        <w:ind w:firstLine="480"/>
        <w:spacing w:line="332" w:lineRule="auto"/>
        <w:rPr>
          <w:rFonts w:hint="eastAsia" w:ascii="宋体" w:hAnsi="宋体" w:eastAsia="宋体" w:cs="宋体"/>
          <w:color w:val="auto"/>
          <w:sz w:val="24"/>
          <w:szCs w:val="24"/>
          <w:highlight w:val="none"/>
        </w:rPr>
      </w:pPr>
      <w:r/>
      <w:bookmarkStart w:id="551" w:name="_Toc292559916"/>
      <w:r/>
      <w:bookmarkStart w:id="552" w:name="_Toc267251461"/>
      <w:r/>
      <w:bookmarkStart w:id="553" w:name="_Toc292559411"/>
      <w:r/>
      <w:bookmarkStart w:id="554" w:name="_Toc296347205"/>
      <w:r/>
      <w:bookmarkStart w:id="555" w:name="_Toc296891034"/>
      <w:r/>
      <w:bookmarkStart w:id="556" w:name="_Toc296503206"/>
      <w:r/>
      <w:bookmarkStart w:id="557" w:name="_Toc296944545"/>
      <w:r/>
      <w:bookmarkStart w:id="558" w:name="_Toc296346707"/>
      <w:r/>
      <w:bookmarkStart w:id="559" w:name="_Toc297048392"/>
      <w:r/>
      <w:bookmarkStart w:id="560" w:name="_Toc296891246"/>
      <w:r/>
      <w:bookmarkStart w:id="561" w:name="_Toc297120506"/>
      <w:r/>
      <w:bookmarkStart w:id="562" w:name="_Toc300935003"/>
      <w:r/>
      <w:bookmarkStart w:id="563" w:name="_Toc312678041"/>
      <w:r/>
      <w:bookmarkStart w:id="564" w:name="_Toc303539160"/>
      <w:r/>
      <w:bookmarkStart w:id="565" w:name="_Toc304295580"/>
      <w:r/>
      <w:bookmarkStart w:id="566" w:name="_Toc297216212"/>
      <w:r/>
      <w:bookmarkStart w:id="567" w:name="_Toc297123553"/>
      <w:r>
        <w:rPr>
          <w:rFonts w:hint="eastAsia" w:ascii="宋体" w:hAnsi="宋体" w:eastAsia="宋体" w:cs="宋体"/>
          <w:color w:val="auto"/>
          <w:sz w:val="24"/>
          <w:szCs w:val="24"/>
          <w:highlight w:val="none"/>
        </w:rPr>
        <w:t xml:space="preserve">12.1 合</w:t>
      </w:r>
      <w:bookmarkEnd w:id="551"/>
      <w:r/>
      <w:bookmarkEnd w:id="552"/>
      <w:r/>
      <w:bookmarkEnd w:id="553"/>
      <w:r>
        <w:rPr>
          <w:rFonts w:hint="eastAsia" w:ascii="宋体" w:hAnsi="宋体" w:eastAsia="宋体" w:cs="宋体"/>
          <w:color w:val="auto"/>
          <w:sz w:val="24"/>
          <w:szCs w:val="24"/>
          <w:highlight w:val="none"/>
        </w:rPr>
        <w:t xml:space="preserve">同价</w:t>
      </w:r>
      <w:bookmarkEnd w:id="554"/>
      <w:r/>
      <w:bookmarkEnd w:id="555"/>
      <w:r/>
      <w:bookmarkEnd w:id="556"/>
      <w:r/>
      <w:bookmarkEnd w:id="557"/>
      <w:r/>
      <w:bookmarkEnd w:id="558"/>
      <w:r/>
      <w:bookmarkEnd w:id="559"/>
      <w:r/>
      <w:bookmarkEnd w:id="560"/>
      <w:r/>
      <w:bookmarkEnd w:id="561"/>
      <w:r>
        <w:rPr>
          <w:rFonts w:hint="eastAsia" w:ascii="宋体" w:hAnsi="宋体" w:eastAsia="宋体" w:cs="宋体"/>
          <w:color w:val="auto"/>
          <w:sz w:val="24"/>
          <w:szCs w:val="24"/>
          <w:highlight w:val="none"/>
        </w:rPr>
        <w:t xml:space="preserve">格形式</w:t>
      </w:r>
      <w:bookmarkEnd w:id="562"/>
      <w:r/>
      <w:bookmarkEnd w:id="563"/>
      <w:r/>
      <w:bookmarkEnd w:id="564"/>
      <w:r/>
      <w:bookmarkEnd w:id="565"/>
      <w:r/>
      <w:bookmarkEnd w:id="566"/>
      <w:r/>
      <w:bookmarkEnd w:id="567"/>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除</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约定工程价款调整以外的全部风险。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市场价格波动执行通用条款第11.1款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bookmarkStart w:id="568" w:name="_Toc300935004"/>
      <w:r/>
      <w:bookmarkStart w:id="569" w:name="_Toc297216213"/>
      <w:r/>
      <w:bookmarkStart w:id="570" w:name="_Toc304295581"/>
      <w:r/>
      <w:bookmarkStart w:id="571" w:name="_Toc297123554"/>
      <w:r/>
      <w:bookmarkStart w:id="572" w:name="_Toc312678042"/>
      <w:r/>
      <w:bookmarkStart w:id="573" w:name="_Toc303539161"/>
      <w:r/>
      <w:bookmarkStart w:id="574" w:name="_Toc297048393"/>
      <w:r/>
      <w:bookmarkStart w:id="575" w:name="_Toc296347206"/>
      <w:r/>
      <w:bookmarkStart w:id="576" w:name="_Toc296944546"/>
      <w:r/>
      <w:bookmarkStart w:id="577" w:name="_Toc292559917"/>
      <w:r/>
      <w:bookmarkStart w:id="578" w:name="_Toc292559412"/>
      <w:r/>
      <w:bookmarkStart w:id="579" w:name="_Toc296891247"/>
      <w:r/>
      <w:bookmarkStart w:id="580" w:name="_Toc296503207"/>
      <w:r/>
      <w:bookmarkStart w:id="581" w:name="_Toc296346708"/>
      <w:r/>
      <w:bookmarkStart w:id="582" w:name="_Toc297120507"/>
      <w:r/>
      <w:bookmarkStart w:id="583" w:name="_Toc296891035"/>
      <w:r>
        <w:rPr>
          <w:rFonts w:hint="eastAsia" w:ascii="宋体" w:hAnsi="宋体" w:eastAsia="宋体" w:cs="宋体"/>
          <w:color w:val="auto"/>
          <w:sz w:val="24"/>
          <w:szCs w:val="24"/>
          <w:highlight w:val="none"/>
        </w:rPr>
        <w:t xml:space="preserve">12.2 预付款</w:t>
      </w:r>
      <w:bookmarkEnd w:id="568"/>
      <w:r/>
      <w:bookmarkEnd w:id="569"/>
      <w:r/>
      <w:bookmarkEnd w:id="570"/>
      <w:r/>
      <w:bookmarkEnd w:id="571"/>
      <w:r/>
      <w:bookmarkEnd w:id="572"/>
      <w:r/>
      <w:bookmarkEnd w:id="573"/>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按付款方式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按付款方式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74"/>
      <w:r/>
      <w:bookmarkEnd w:id="575"/>
      <w:r/>
      <w:bookmarkEnd w:id="576"/>
      <w:r/>
      <w:bookmarkEnd w:id="577"/>
      <w:r/>
      <w:bookmarkEnd w:id="578"/>
      <w:r/>
      <w:bookmarkEnd w:id="579"/>
      <w:r/>
      <w:bookmarkEnd w:id="580"/>
      <w:r/>
      <w:bookmarkEnd w:id="581"/>
      <w:r/>
      <w:bookmarkEnd w:id="582"/>
      <w:r/>
      <w:bookmarkEnd w:id="583"/>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keepLines w:val="0"/>
        <w:keepNext w:val="0"/>
        <w:pageBreakBefore w:val="0"/>
        <w:spacing w:line="33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工程量清单中的工程量计算规则按《建设工程工程量清单计价规范(GB50500—2013)规定执行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跟付款同步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jc w:val="left"/>
        <w:spacing w:line="332" w:lineRule="auto"/>
        <w:rPr>
          <w:rFonts w:hint="eastAsia" w:ascii="宋体" w:hAnsi="宋体" w:eastAsia="宋体" w:cs="宋体"/>
          <w:color w:val="auto"/>
          <w:sz w:val="24"/>
          <w:szCs w:val="24"/>
          <w:highlight w:val="none"/>
        </w:rPr>
      </w:pPr>
      <w:r/>
      <w:bookmarkStart w:id="584" w:name="_Toc292559921"/>
      <w:r/>
      <w:bookmarkStart w:id="585" w:name="_Toc296891039"/>
      <w:r/>
      <w:bookmarkStart w:id="586" w:name="_Toc296346712"/>
      <w:r/>
      <w:bookmarkStart w:id="587" w:name="_Toc296503211"/>
      <w:r/>
      <w:bookmarkStart w:id="588" w:name="_Toc303539163"/>
      <w:r/>
      <w:bookmarkStart w:id="589" w:name="_Toc297048397"/>
      <w:r/>
      <w:bookmarkStart w:id="590" w:name="_Toc292559416"/>
      <w:r/>
      <w:bookmarkStart w:id="591" w:name="_Toc297123556"/>
      <w:r/>
      <w:bookmarkStart w:id="592" w:name="_Toc296944550"/>
      <w:r/>
      <w:bookmarkStart w:id="593" w:name="_Toc297216215"/>
      <w:r/>
      <w:bookmarkStart w:id="594" w:name="_Toc296347210"/>
      <w:r/>
      <w:bookmarkStart w:id="595" w:name="_Toc296891251"/>
      <w:r/>
      <w:bookmarkStart w:id="596" w:name="_Toc300935006"/>
      <w:r/>
      <w:bookmarkStart w:id="597" w:name="_Toc297120511"/>
      <w:r>
        <w:rPr>
          <w:rFonts w:hint="eastAsia" w:ascii="宋体" w:hAnsi="宋体" w:eastAsia="宋体" w:cs="宋体"/>
          <w:color w:val="auto"/>
          <w:sz w:val="24"/>
          <w:szCs w:val="24"/>
          <w:highlight w:val="none"/>
        </w:rPr>
        <w:t xml:space="preserve">12.4.1 付款周期</w:t>
      </w:r>
      <w:r/>
    </w:p>
    <w:p>
      <w:pPr>
        <w:ind w:firstLine="480"/>
        <w:spacing w:before="120" w:after="12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关于付款周期的约定：</w:t>
      </w:r>
      <w:r>
        <w:rPr>
          <w:rFonts w:hint="eastAsia" w:ascii="宋体" w:hAnsi="宋体" w:eastAsia="宋体" w:cs="宋体"/>
          <w:color w:val="auto"/>
          <w:sz w:val="24"/>
          <w:szCs w:val="24"/>
          <w:highlight w:val="none"/>
          <w:u w:val="single"/>
          <w:lang w:val="en-US" w:eastAsia="zh-CN"/>
        </w:rPr>
        <w:t xml:space="preserve">按磋商文件执行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eastAsia="宋体" w:cs="宋体"/>
          <w:color w:val="auto"/>
          <w:sz w:val="24"/>
          <w:szCs w:val="24"/>
          <w:highlight w:val="none"/>
        </w:rPr>
        <w:t xml:space="preserve">2.4.3 进度付款申请单的提交</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6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12.5支付账户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账户信息</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发包人应将合同价款依照合同约定，支付至合同协议书中约定的承包人账户，账户信息以合同协议书中承包人的开户银行和账号为准。</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账户变更</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合同双方是否能自行变更支付账号：</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如勾选“否”，则变更支付账号，需经原账户开户银行书面同意。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注：承包人账户信息（开户行、账号），在主合同“合同协议书”中有明确表述。</w:t>
      </w:r>
      <w:bookmarkEnd w:id="427"/>
      <w:r/>
      <w:r/>
    </w:p>
    <w:p>
      <w:pPr>
        <w:pStyle w:val="900"/>
        <w:spacing w:line="332" w:lineRule="auto"/>
        <w:rPr>
          <w:rFonts w:hint="eastAsia" w:ascii="宋体" w:hAnsi="宋体" w:eastAsia="宋体" w:cs="宋体"/>
          <w:bCs w:val="0"/>
          <w:color w:val="auto"/>
          <w:szCs w:val="32"/>
          <w:highlight w:val="none"/>
        </w:rPr>
      </w:pPr>
      <w:r/>
      <w:bookmarkStart w:id="598" w:name="_Toc297216223"/>
      <w:r/>
      <w:bookmarkStart w:id="599" w:name="_Toc303539172"/>
      <w:r/>
      <w:bookmarkStart w:id="600" w:name="_Toc351203645"/>
      <w:r/>
      <w:bookmarkStart w:id="601" w:name="_Toc304295593"/>
      <w:r/>
      <w:bookmarkStart w:id="602" w:name="_Toc296503219"/>
      <w:r/>
      <w:bookmarkStart w:id="603" w:name="_Toc292559424"/>
      <w:r/>
      <w:bookmarkStart w:id="604" w:name="_Toc296944558"/>
      <w:r/>
      <w:bookmarkStart w:id="605" w:name="_Toc296891259"/>
      <w:r/>
      <w:bookmarkStart w:id="606" w:name="_Toc297120519"/>
      <w:r/>
      <w:bookmarkStart w:id="607" w:name="_Toc297123564"/>
      <w:r/>
      <w:bookmarkStart w:id="608" w:name="_Toc300935015"/>
      <w:r/>
      <w:bookmarkStart w:id="609" w:name="_Toc297048405"/>
      <w:r/>
      <w:bookmarkStart w:id="610" w:name="_Toc312678053"/>
      <w:r/>
      <w:bookmarkStart w:id="611" w:name="_Toc296347218"/>
      <w:r/>
      <w:bookmarkStart w:id="612" w:name="_Toc296346720"/>
      <w:r/>
      <w:bookmarkStart w:id="613" w:name="_Toc292559929"/>
      <w:r/>
      <w:bookmarkStart w:id="614" w:name="_Toc296891047"/>
      <w:r>
        <w:rPr>
          <w:rFonts w:hint="eastAsia" w:ascii="宋体" w:hAnsi="宋体" w:eastAsia="宋体" w:cs="宋体"/>
          <w:bCs w:val="0"/>
          <w:color w:val="auto"/>
          <w:szCs w:val="32"/>
          <w:highlight w:val="none"/>
        </w:rPr>
        <w:t xml:space="preserve">13. 验收和工程试车</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32"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spacing w:line="332" w:lineRule="auto"/>
        <w:rPr>
          <w:rFonts w:hint="eastAsia" w:ascii="宋体" w:hAnsi="宋体" w:eastAsia="宋体" w:cs="宋体"/>
          <w:color w:val="auto"/>
          <w:sz w:val="24"/>
          <w:szCs w:val="24"/>
          <w:highlight w:val="none"/>
        </w:rPr>
      </w:pPr>
      <w:r/>
      <w:bookmarkStart w:id="615" w:name="_Toc292559933"/>
      <w:r/>
      <w:bookmarkStart w:id="616" w:name="_Toc297120523"/>
      <w:r/>
      <w:bookmarkStart w:id="617" w:name="_Toc296347222"/>
      <w:r/>
      <w:bookmarkStart w:id="618" w:name="_Toc303539173"/>
      <w:r/>
      <w:bookmarkStart w:id="619" w:name="_Toc296944562"/>
      <w:r/>
      <w:bookmarkStart w:id="620" w:name="_Toc292559428"/>
      <w:r/>
      <w:bookmarkStart w:id="621" w:name="_Toc312678056"/>
      <w:r/>
      <w:bookmarkStart w:id="622" w:name="_Toc296346724"/>
      <w:r/>
      <w:bookmarkStart w:id="623" w:name="_Toc297216224"/>
      <w:r/>
      <w:bookmarkStart w:id="624" w:name="_Toc304295596"/>
      <w:r/>
      <w:bookmarkStart w:id="625" w:name="_Toc296503223"/>
      <w:r/>
      <w:bookmarkStart w:id="626" w:name="_Toc300935016"/>
      <w:r/>
      <w:bookmarkStart w:id="627" w:name="_Toc296891051"/>
      <w:r/>
      <w:bookmarkStart w:id="628" w:name="_Toc297123565"/>
      <w:r/>
      <w:bookmarkStart w:id="629" w:name="_Toc296891263"/>
      <w:r/>
      <w:bookmarkStart w:id="630" w:name="_Toc297048409"/>
      <w:r/>
      <w:bookmarkStart w:id="631" w:name="_Toc267251470"/>
      <w:r/>
      <w:bookmarkStart w:id="632" w:name="_Toc267251476"/>
      <w:r/>
      <w:bookmarkStart w:id="633" w:name="_Toc267251471"/>
      <w:r/>
      <w:bookmarkStart w:id="634" w:name="_Toc267251474"/>
      <w:r/>
      <w:bookmarkStart w:id="635" w:name="_Toc267251472"/>
      <w:r/>
      <w:bookmarkStart w:id="636" w:name="_Toc267251473"/>
      <w:r/>
      <w:bookmarkStart w:id="637" w:name="_Toc267251475"/>
      <w:r>
        <w:rPr>
          <w:rFonts w:hint="eastAsia" w:ascii="宋体" w:hAnsi="宋体" w:eastAsia="宋体" w:cs="宋体"/>
          <w:color w:val="auto"/>
          <w:sz w:val="24"/>
          <w:szCs w:val="24"/>
          <w:highlight w:val="none"/>
        </w:rPr>
        <w:t xml:space="preserve">13.2 竣工验收</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
    </w:p>
    <w:p>
      <w:pPr>
        <w:ind w:firstLine="480"/>
        <w:jc w:val="left"/>
        <w:spacing w:line="332" w:lineRule="auto"/>
        <w:rPr>
          <w:rFonts w:hint="eastAsia" w:ascii="宋体" w:hAnsi="宋体" w:eastAsia="宋体" w:cs="宋体"/>
          <w:color w:val="auto"/>
          <w:sz w:val="24"/>
          <w:szCs w:val="24"/>
          <w:highlight w:val="none"/>
        </w:rPr>
      </w:pPr>
      <w:r/>
      <w:bookmarkStart w:id="638" w:name="_Toc280868704"/>
      <w:r/>
      <w:bookmarkStart w:id="639" w:name="_Toc280868705"/>
      <w:r/>
      <w:bookmarkStart w:id="640" w:name="_Toc280868706"/>
      <w:r/>
      <w:bookmarkStart w:id="641" w:name="_Toc280868707"/>
      <w:r/>
      <w:bookmarkStart w:id="642" w:name="_Toc280868708"/>
      <w:r/>
      <w:bookmarkStart w:id="643" w:name="_Toc280868709"/>
      <w:r>
        <w:rPr>
          <w:rFonts w:hint="eastAsia" w:ascii="宋体" w:hAnsi="宋体" w:eastAsia="宋体" w:cs="宋体"/>
          <w:color w:val="auto"/>
          <w:sz w:val="24"/>
          <w:szCs w:val="24"/>
          <w:highlight w:val="none"/>
        </w:rPr>
        <w:t xml:space="preserve">13.2.2竣工验收程序</w:t>
      </w:r>
      <w:bookmarkEnd w:id="638"/>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639"/>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640"/>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颁发工程接受证书后7天内完成工程的移交</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如有，双方另行约定  </w:t>
      </w:r>
      <w:r>
        <w:rPr>
          <w:rFonts w:hint="eastAsia" w:ascii="宋体" w:hAnsi="宋体" w:eastAsia="宋体" w:cs="宋体"/>
          <w:color w:val="auto"/>
          <w:sz w:val="24"/>
          <w:szCs w:val="24"/>
          <w:highlight w:val="none"/>
        </w:rPr>
        <w:t xml:space="preserve">。</w:t>
      </w:r>
      <w:bookmarkEnd w:id="641"/>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如有，双方另行约定。</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642"/>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工程竣工验收合格一周内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Cs w:val="32"/>
          <w:highlight w:val="none"/>
        </w:rPr>
      </w:pPr>
      <w:r/>
      <w:bookmarkStart w:id="644" w:name="_Toc351203646"/>
      <w:r>
        <w:rPr>
          <w:rFonts w:hint="eastAsia" w:ascii="宋体" w:hAnsi="宋体" w:eastAsia="宋体" w:cs="宋体"/>
          <w:bCs w:val="0"/>
          <w:color w:val="auto"/>
          <w:szCs w:val="32"/>
          <w:highlight w:val="none"/>
        </w:rPr>
        <w:t xml:space="preserve">14. 竣工结算</w:t>
      </w:r>
      <w:bookmarkEnd w:id="644"/>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发包人应在监理人收到进度付款申请单后的28 天内，将进度应付款支付给承包人</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  根据本项目付款方式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w:t>
      </w:r>
      <w:r>
        <w:rPr>
          <w:rFonts w:hint="eastAsia" w:ascii="宋体" w:hAnsi="宋体" w:eastAsia="宋体" w:cs="宋体"/>
          <w:color w:val="auto"/>
          <w:sz w:val="24"/>
          <w:szCs w:val="24"/>
          <w:highlight w:val="none"/>
          <w:u w:val="single"/>
          <w:lang w:eastAsia="zh-CN"/>
        </w:rPr>
        <w:t xml:space="preserve">申请单</w:t>
      </w:r>
      <w:r>
        <w:rPr>
          <w:rFonts w:hint="eastAsia" w:ascii="宋体" w:hAnsi="宋体" w:eastAsia="宋体" w:cs="宋体"/>
          <w:color w:val="auto"/>
          <w:sz w:val="24"/>
          <w:szCs w:val="24"/>
          <w:highlight w:val="none"/>
          <w:u w:val="single"/>
        </w:rPr>
        <w:t xml:space="preserve">后的28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 发包人在收到承包人最终结清申请单后完成审批。承包人承诺及时对工程审计结果进行确认或提出附有佐证材料的有效异议，如因承包人原因一周内未确认审计结果或提出有效异议，影响结算审计进程的，视为认可审计结果，发包人有权直接以审计单位确认的审计结果与承包人进行工程款结算。</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bookmarkEnd w:id="631"/>
      <w:r/>
      <w:bookmarkEnd w:id="632"/>
      <w:r/>
      <w:bookmarkEnd w:id="633"/>
      <w:r/>
      <w:bookmarkEnd w:id="634"/>
      <w:r/>
      <w:bookmarkEnd w:id="635"/>
      <w:r/>
      <w:bookmarkEnd w:id="636"/>
      <w:r/>
      <w:bookmarkEnd w:id="637"/>
      <w:r/>
      <w:bookmarkEnd w:id="643"/>
      <w:r/>
      <w:r/>
    </w:p>
    <w:p>
      <w:pPr>
        <w:pStyle w:val="900"/>
        <w:spacing w:line="332" w:lineRule="auto"/>
        <w:rPr>
          <w:rFonts w:hint="eastAsia" w:ascii="宋体" w:hAnsi="宋体" w:eastAsia="宋体" w:cs="宋体"/>
          <w:bCs w:val="0"/>
          <w:color w:val="auto"/>
          <w:szCs w:val="32"/>
          <w:highlight w:val="none"/>
        </w:rPr>
      </w:pPr>
      <w:r/>
      <w:bookmarkStart w:id="645" w:name="_Toc351203647"/>
      <w:r/>
      <w:bookmarkStart w:id="646" w:name="_Toc267251483"/>
      <w:r/>
      <w:bookmarkStart w:id="647" w:name="_Toc267251484"/>
      <w:r/>
      <w:bookmarkStart w:id="648" w:name="_Toc267251482"/>
      <w:r/>
      <w:bookmarkStart w:id="649" w:name="_Toc267251485"/>
      <w:r/>
      <w:bookmarkStart w:id="650" w:name="_Toc267251489"/>
      <w:r/>
      <w:bookmarkStart w:id="651" w:name="_Toc267251486"/>
      <w:r/>
      <w:bookmarkStart w:id="652" w:name="_Toc267251488"/>
      <w:r/>
      <w:bookmarkStart w:id="653" w:name="_Toc267251490"/>
      <w:r/>
      <w:bookmarkStart w:id="654" w:name="_Toc267251494"/>
      <w:r/>
      <w:bookmarkStart w:id="655" w:name="_Toc267251495"/>
      <w:r/>
      <w:bookmarkStart w:id="656" w:name="_Toc267251496"/>
      <w:r/>
      <w:bookmarkStart w:id="657" w:name="_Toc267251501"/>
      <w:r/>
      <w:bookmarkStart w:id="658" w:name="_Toc267251503"/>
      <w:r/>
      <w:bookmarkStart w:id="659" w:name="_Toc267251491"/>
      <w:r/>
      <w:bookmarkStart w:id="660" w:name="_Toc267251498"/>
      <w:r/>
      <w:bookmarkStart w:id="661" w:name="_Toc267251499"/>
      <w:r/>
      <w:bookmarkStart w:id="662" w:name="_Toc267251497"/>
      <w:r/>
      <w:bookmarkStart w:id="663" w:name="_Toc267251492"/>
      <w:r/>
      <w:bookmarkStart w:id="664" w:name="_Toc267251502"/>
      <w:r/>
      <w:bookmarkStart w:id="665" w:name="_Toc267251493"/>
      <w:r/>
      <w:bookmarkStart w:id="666" w:name="_Toc267251506"/>
      <w:r/>
      <w:bookmarkStart w:id="667" w:name="_Toc267251504"/>
      <w:r/>
      <w:bookmarkStart w:id="668" w:name="_Toc267251507"/>
      <w:r/>
      <w:bookmarkStart w:id="669" w:name="_Toc267251508"/>
      <w:r/>
      <w:bookmarkStart w:id="670" w:name="_Toc267251511"/>
      <w:r/>
      <w:bookmarkStart w:id="671" w:name="_Toc267251513"/>
      <w:r/>
      <w:bookmarkStart w:id="672" w:name="_Toc267251514"/>
      <w:r/>
      <w:bookmarkStart w:id="673" w:name="_Toc267251510"/>
      <w:r/>
      <w:bookmarkStart w:id="674" w:name="_Toc267251509"/>
      <w:r/>
      <w:bookmarkStart w:id="675" w:name="_Toc267251515"/>
      <w:r>
        <w:rPr>
          <w:rFonts w:hint="eastAsia" w:ascii="宋体" w:hAnsi="宋体" w:eastAsia="宋体" w:cs="宋体"/>
          <w:bCs w:val="0"/>
          <w:color w:val="auto"/>
          <w:szCs w:val="32"/>
          <w:highlight w:val="none"/>
        </w:rPr>
        <w:t xml:space="preserve">15. 缺陷责任期与保修</w:t>
      </w:r>
      <w:bookmarkEnd w:id="645"/>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646"/>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工程通过竣工验收之日起24个月</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是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发包人按工程价款结算总额的3%预留工程质量保修金，待缺陷责任期满后无息返还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4"/>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质量保证金不计息   </w:t>
      </w:r>
      <w:r>
        <w:rPr>
          <w:rFonts w:hint="eastAsia" w:ascii="宋体" w:hAnsi="宋体" w:eastAsia="宋体" w:cs="宋体"/>
          <w:color w:val="auto"/>
          <w:sz w:val="24"/>
          <w:szCs w:val="24"/>
          <w:highlight w:val="none"/>
        </w:rPr>
        <w:t xml:space="preserve">。</w:t>
      </w:r>
      <w:bookmarkEnd w:id="647"/>
      <w:r/>
      <w:bookmarkEnd w:id="648"/>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649"/>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(3)工程保修期内如出现第三方造成的施工范围内道路、绿化及其他相关设施的损坏。承包人在接到发包人电话 8 小时内须到达现场维修，产生的费用由承包人先行垫付</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招标人协同承包人追责。（4）工程保修期内如出现第三方造成的施工范围内道路、绿化及其他相关设施的损坏，如承包人未按时到达现场维修，发包人将委托其他单位进行维修，所产生的费用由承包人承担，如承包人拒绝支付则该费用直接从质保金中扣除。</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8小时内</w:t>
      </w:r>
      <w:r>
        <w:rPr>
          <w:rFonts w:hint="eastAsia" w:ascii="宋体" w:hAnsi="宋体" w:eastAsia="宋体" w:cs="宋体"/>
          <w:color w:val="auto"/>
          <w:sz w:val="24"/>
          <w:szCs w:val="24"/>
          <w:highlight w:val="none"/>
        </w:rPr>
        <w:t xml:space="preserve">。</w:t>
      </w:r>
      <w:bookmarkEnd w:id="650"/>
      <w:r/>
      <w:bookmarkEnd w:id="651"/>
      <w:r/>
      <w:bookmarkEnd w:id="652"/>
      <w:r/>
      <w:bookmarkEnd w:id="653"/>
      <w:r/>
      <w:r/>
    </w:p>
    <w:p>
      <w:pPr>
        <w:pStyle w:val="900"/>
        <w:spacing w:line="332" w:lineRule="auto"/>
        <w:rPr>
          <w:rFonts w:hint="eastAsia" w:ascii="宋体" w:hAnsi="宋体" w:eastAsia="宋体" w:cs="宋体"/>
          <w:bCs w:val="0"/>
          <w:color w:val="auto"/>
          <w:szCs w:val="32"/>
          <w:highlight w:val="none"/>
        </w:rPr>
      </w:pPr>
      <w:r/>
      <w:bookmarkStart w:id="676" w:name="_Toc351203648"/>
      <w:r/>
      <w:bookmarkStart w:id="677" w:name="_Toc280868717"/>
      <w:r/>
      <w:bookmarkStart w:id="678" w:name="_Toc280868718"/>
      <w:r>
        <w:rPr>
          <w:rFonts w:hint="eastAsia" w:ascii="宋体" w:hAnsi="宋体" w:eastAsia="宋体" w:cs="宋体"/>
          <w:bCs w:val="0"/>
          <w:color w:val="auto"/>
          <w:szCs w:val="32"/>
          <w:highlight w:val="none"/>
        </w:rPr>
        <w:t xml:space="preserve">16. 违约</w:t>
      </w:r>
      <w:bookmarkEnd w:id="676"/>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1050" w:hanging="120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工期顺延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双方约定  </w:t>
      </w:r>
      <w:r>
        <w:rPr>
          <w:rFonts w:hint="eastAsia" w:ascii="宋体" w:hAnsi="宋体" w:eastAsia="宋体" w:cs="宋体"/>
          <w:color w:val="auto"/>
          <w:sz w:val="24"/>
          <w:szCs w:val="24"/>
          <w:highlight w:val="none"/>
        </w:rPr>
        <w:t xml:space="preserve">。</w:t>
      </w:r>
      <w:r/>
    </w:p>
    <w:p>
      <w:pPr>
        <w:pStyle w:val="900"/>
        <w:spacing w:line="332" w:lineRule="auto"/>
        <w:rPr>
          <w:rFonts w:hint="eastAsia" w:ascii="宋体" w:hAnsi="宋体" w:eastAsia="宋体" w:cs="宋体"/>
          <w:bCs w:val="0"/>
          <w:color w:val="auto"/>
          <w:szCs w:val="32"/>
          <w:highlight w:val="none"/>
        </w:rPr>
      </w:pPr>
      <w:r/>
      <w:bookmarkStart w:id="679" w:name="_Toc351203649"/>
      <w:r>
        <w:rPr>
          <w:rFonts w:hint="eastAsia" w:ascii="宋体" w:hAnsi="宋体" w:eastAsia="宋体" w:cs="宋体"/>
          <w:bCs w:val="0"/>
          <w:color w:val="auto"/>
          <w:szCs w:val="32"/>
          <w:highlight w:val="none"/>
        </w:rPr>
        <w:t xml:space="preserve">17. 不可抗力</w:t>
      </w:r>
      <w:bookmarkEnd w:id="679"/>
      <w:r>
        <w:rPr>
          <w:rFonts w:hint="eastAsia" w:ascii="宋体" w:hAnsi="宋体" w:eastAsia="宋体" w:cs="宋体"/>
          <w:bCs w:val="0"/>
          <w:color w:val="auto"/>
          <w:szCs w:val="32"/>
          <w:highlight w:val="none"/>
        </w:rPr>
        <w:t xml:space="preserve"> </w:t>
      </w:r>
      <w:bookmarkEnd w:id="677"/>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900"/>
        <w:spacing w:line="332" w:lineRule="auto"/>
        <w:rPr>
          <w:rFonts w:hint="eastAsia" w:ascii="宋体" w:hAnsi="宋体" w:eastAsia="宋体" w:cs="宋体"/>
          <w:bCs w:val="0"/>
          <w:color w:val="auto"/>
          <w:szCs w:val="32"/>
          <w:highlight w:val="none"/>
        </w:rPr>
      </w:pPr>
      <w:r/>
      <w:bookmarkStart w:id="680" w:name="_Toc351203650"/>
      <w:r>
        <w:rPr>
          <w:rFonts w:hint="eastAsia" w:ascii="宋体" w:hAnsi="宋体" w:eastAsia="宋体" w:cs="宋体"/>
          <w:bCs w:val="0"/>
          <w:color w:val="auto"/>
          <w:szCs w:val="32"/>
          <w:highlight w:val="none"/>
        </w:rPr>
        <w:t xml:space="preserve">18. 保险</w:t>
      </w:r>
      <w:bookmarkEnd w:id="678"/>
      <w:r/>
      <w:bookmarkEnd w:id="680"/>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承包人自行考虑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pStyle w:val="900"/>
        <w:spacing w:line="332" w:lineRule="auto"/>
        <w:rPr>
          <w:rFonts w:hint="eastAsia" w:ascii="宋体" w:hAnsi="宋体" w:eastAsia="宋体" w:cs="宋体"/>
          <w:bCs w:val="0"/>
          <w:color w:val="auto"/>
          <w:szCs w:val="32"/>
          <w:highlight w:val="none"/>
        </w:rPr>
      </w:pPr>
      <w:r/>
      <w:bookmarkStart w:id="681" w:name="_Toc351203651"/>
      <w:r>
        <w:rPr>
          <w:rFonts w:hint="eastAsia" w:ascii="宋体" w:hAnsi="宋体" w:eastAsia="宋体" w:cs="宋体"/>
          <w:bCs w:val="0"/>
          <w:color w:val="auto"/>
          <w:szCs w:val="32"/>
          <w:highlight w:val="none"/>
        </w:rPr>
        <w:t xml:space="preserve">20. 争议解决</w:t>
      </w:r>
      <w:bookmarkEnd w:id="666"/>
      <w:r/>
      <w:bookmarkEnd w:id="667"/>
      <w:r/>
      <w:bookmarkEnd w:id="681"/>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争</w:t>
      </w:r>
      <w:bookmarkEnd w:id="668"/>
      <w:r>
        <w:rPr>
          <w:rFonts w:hint="eastAsia" w:ascii="宋体" w:hAnsi="宋体" w:eastAsia="宋体" w:cs="宋体"/>
          <w:color w:val="auto"/>
          <w:sz w:val="24"/>
          <w:szCs w:val="24"/>
          <w:highlight w:val="none"/>
        </w:rPr>
        <w:t xml:space="preserve">议评审</w:t>
      </w:r>
      <w:r/>
    </w:p>
    <w:p>
      <w:pPr>
        <w:ind w:left="149" w:firstLine="36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3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20.4仲裁或诉讼</w:t>
      </w:r>
      <w:bookmarkEnd w:id="669"/>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种方式解决：</w:t>
      </w:r>
      <w:r/>
    </w:p>
    <w:p>
      <w:pPr>
        <w:ind w:firstLine="480"/>
        <w:jc w:val="left"/>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泰州  </w:t>
      </w:r>
      <w:r>
        <w:rPr>
          <w:rFonts w:hint="eastAsia" w:ascii="宋体" w:hAnsi="宋体" w:eastAsia="宋体" w:cs="宋体"/>
          <w:color w:val="auto"/>
          <w:sz w:val="24"/>
          <w:szCs w:val="24"/>
          <w:highlight w:val="none"/>
        </w:rPr>
        <w:t xml:space="preserve">仲裁委员会申请仲裁；</w:t>
      </w:r>
      <w:r/>
    </w:p>
    <w:p>
      <w:pPr>
        <w:ind w:firstLine="480"/>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人民法院起诉。</w:t>
      </w:r>
      <w:bookmarkEnd w:id="670"/>
      <w:r/>
      <w:bookmarkEnd w:id="671"/>
      <w:r/>
      <w:bookmarkEnd w:id="672"/>
      <w:r/>
      <w:bookmarkEnd w:id="673"/>
      <w:r/>
      <w:bookmarkEnd w:id="674"/>
      <w:r/>
      <w:bookmarkEnd w:id="675"/>
      <w:r/>
      <w:r/>
    </w:p>
    <w:p>
      <w:pPr>
        <w:pStyle w:val="900"/>
        <w:spacing w:after="120" w:line="332" w:lineRule="auto"/>
        <w:rPr>
          <w:rFonts w:hint="eastAsia" w:ascii="宋体" w:hAnsi="宋体" w:eastAsia="宋体" w:cs="宋体"/>
          <w:bCs w:val="0"/>
          <w:color w:val="auto"/>
          <w:szCs w:val="32"/>
          <w:highlight w:val="none"/>
        </w:rPr>
      </w:pPr>
      <w:r>
        <w:rPr>
          <w:rFonts w:hint="eastAsia" w:ascii="宋体" w:hAnsi="宋体" w:eastAsia="宋体" w:cs="宋体"/>
          <w:bCs w:val="0"/>
          <w:color w:val="auto"/>
          <w:szCs w:val="32"/>
          <w:highlight w:val="none"/>
        </w:rPr>
        <w:t xml:space="preserve">2</w:t>
      </w:r>
      <w:r>
        <w:rPr>
          <w:rFonts w:hint="eastAsia" w:ascii="宋体" w:hAnsi="宋体" w:eastAsia="宋体" w:cs="宋体"/>
          <w:bCs w:val="0"/>
          <w:color w:val="auto"/>
          <w:szCs w:val="32"/>
          <w:highlight w:val="none"/>
          <w:lang w:val="en-US" w:eastAsia="zh-CN"/>
        </w:rPr>
        <w:t xml:space="preserve">1</w:t>
      </w:r>
      <w:r>
        <w:rPr>
          <w:rFonts w:hint="eastAsia" w:ascii="宋体" w:hAnsi="宋体" w:eastAsia="宋体" w:cs="宋体"/>
          <w:bCs w:val="0"/>
          <w:color w:val="auto"/>
          <w:szCs w:val="32"/>
          <w:highlight w:val="none"/>
        </w:rPr>
        <w:t xml:space="preserve">.补充条款</w:t>
      </w:r>
      <w:r/>
    </w:p>
    <w:p>
      <w:pPr>
        <w:ind w:firstLine="480"/>
        <w:jc w:val="left"/>
        <w:keepLines w:val="0"/>
        <w:keepNext w:val="0"/>
        <w:pageBreakBefore w:val="0"/>
        <w:spacing w:line="332" w:lineRule="auto"/>
        <w:widowControl/>
        <w:rPr>
          <w:rFonts w:hint="eastAsia" w:ascii="宋体" w:hAnsi="宋体"/>
          <w:sz w:val="24"/>
          <w:szCs w:val="24"/>
        </w:rPr>
        <w:suppressLineNumbers w:val="0"/>
      </w:pPr>
      <w:r>
        <w:rPr>
          <w:rFonts w:hint="eastAsia" w:ascii="宋体" w:hAnsi="宋体" w:eastAsia="宋体" w:cs="宋体"/>
          <w:color w:val="000000"/>
          <w:sz w:val="24"/>
          <w:szCs w:val="24"/>
          <w:lang w:val="en-US" w:eastAsia="zh-CN" w:bidi="ar"/>
        </w:rPr>
        <w:t xml:space="preserve">22.1 </w:t>
      </w:r>
      <w:r>
        <w:rPr>
          <w:rFonts w:hint="eastAsia" w:ascii="宋体" w:hAnsi="宋体"/>
          <w:sz w:val="24"/>
          <w:szCs w:val="24"/>
        </w:rPr>
        <w:t xml:space="preserve">廉政要求: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w:t>
      </w:r>
      <w:r/>
    </w:p>
    <w:p>
      <w:pPr>
        <w:ind w:firstLine="420"/>
        <w:spacing w:line="332" w:lineRule="auto"/>
        <w:rPr>
          <w:rFonts w:hint="eastAsia" w:ascii="宋体" w:hAnsi="宋体" w:eastAsia="宋体" w:cs="宋体"/>
          <w:spacing w:val="-3"/>
          <w:sz w:val="24"/>
          <w:szCs w:val="24"/>
          <w:u w:val="none"/>
          <w:lang w:val="en-US" w:eastAsia="zh-CN"/>
        </w:rPr>
      </w:pPr>
      <w:r>
        <w:rPr>
          <w:rFonts w:hint="eastAsia" w:ascii="宋体" w:hAnsi="宋体" w:eastAsia="宋体" w:cs="宋体"/>
          <w:color w:val="000000"/>
          <w:sz w:val="24"/>
          <w:szCs w:val="24"/>
          <w:lang w:val="en-US" w:eastAsia="zh-CN" w:bidi="ar"/>
        </w:rPr>
        <w:t xml:space="preserve">22.</w:t>
      </w:r>
      <w:r>
        <w:rPr>
          <w:rFonts w:hint="eastAsia" w:ascii="宋体" w:hAnsi="宋体" w:cs="宋体"/>
          <w:color w:val="000000"/>
          <w:sz w:val="24"/>
          <w:szCs w:val="24"/>
          <w:lang w:val="en-US" w:eastAsia="zh-CN" w:bidi="ar"/>
        </w:rPr>
        <w:t xml:space="preserve">2</w:t>
      </w:r>
      <w:r>
        <w:rPr>
          <w:rFonts w:hint="eastAsia" w:ascii="宋体" w:hAnsi="宋体" w:eastAsia="宋体" w:cs="宋体"/>
          <w:spacing w:val="-3"/>
          <w:sz w:val="24"/>
          <w:szCs w:val="24"/>
          <w:u w:val="none"/>
          <w:lang w:val="en-US" w:eastAsia="zh-CN"/>
        </w:rPr>
        <w:t xml:space="preserve">合同签订时，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r/>
    </w:p>
    <w:p>
      <w:pPr>
        <w:jc w:val="left"/>
        <w:keepLines w:val="0"/>
        <w:keepNext w:val="0"/>
        <w:pageBreakBefore w:val="0"/>
        <w:spacing w:before="127" w:line="360" w:lineRule="auto"/>
        <w:widowControl/>
        <w:rPr>
          <w:rFonts w:hint="default" w:ascii="宋体" w:hAnsi="宋体" w:eastAsia="宋体" w:cs="宋体"/>
          <w:spacing w:val="-3"/>
          <w:sz w:val="24"/>
          <w:szCs w:val="24"/>
          <w:u w:val="none"/>
          <w:lang w:val="en-US" w:eastAsia="zh-CN"/>
        </w:rPr>
      </w:pPr>
      <w:r>
        <w:rPr>
          <w:rFonts w:hint="eastAsia" w:ascii="宋体" w:hAnsi="宋体" w:eastAsia="宋体" w:cs="宋体"/>
          <w:spacing w:val="-3"/>
          <w:sz w:val="24"/>
          <w:szCs w:val="24"/>
          <w:u w:val="none"/>
          <w:lang w:val="en-US" w:eastAsia="zh-CN"/>
        </w:rPr>
        <w:t xml:space="preserve">附件：</w:t>
      </w:r>
      <w:r/>
    </w:p>
    <w:tbl>
      <w:tblPr>
        <w:tblStyle w:val="907"/>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1"/>
        <w:gridCol w:w="1425"/>
        <w:gridCol w:w="711"/>
        <w:gridCol w:w="711"/>
        <w:gridCol w:w="1190"/>
        <w:gridCol w:w="1254"/>
        <w:gridCol w:w="1268"/>
        <w:gridCol w:w="1078"/>
      </w:tblGrid>
      <w:tr>
        <w:trPr>
          <w:trHeight w:val="417"/>
        </w:trPr>
        <w:tc>
          <w:tcPr>
            <w:gridSpan w:val="8"/>
            <w:tcBorders>
              <w:top w:val="single" w:color="000000" w:sz="4" w:space="0"/>
              <w:left w:val="single" w:color="000000" w:sz="4" w:space="0"/>
              <w:bottom w:val="single" w:color="000000" w:sz="4" w:space="0"/>
              <w:right w:val="single" w:color="000000" w:sz="4" w:space="0"/>
            </w:tcBorders>
            <w:tcW w:w="83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拟派本项目团队人员一览表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本项目任职</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姓名</w:t>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职称</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从业年限</w:t>
            </w:r>
            <w:r/>
          </w:p>
        </w:tc>
        <w:tc>
          <w:tcPr>
            <w:gridSpan w:val="2"/>
            <w:tcBorders>
              <w:top w:val="single" w:color="000000" w:sz="4" w:space="0"/>
              <w:left w:val="single" w:color="000000" w:sz="4" w:space="0"/>
              <w:bottom w:val="single" w:color="000000" w:sz="4" w:space="0"/>
              <w:right w:val="single" w:color="000000" w:sz="4" w:space="0"/>
            </w:tcBorders>
            <w:tcW w:w="252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执业资格证书</w:t>
            </w:r>
            <w:r/>
          </w:p>
        </w:tc>
        <w:tc>
          <w:tcPr>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证书名称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技术负责人</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资料员</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0"/>
        <w:rPr>
          <w:rStyle w:val="1317"/>
          <w:color w:val="000000"/>
          <w:sz w:val="24"/>
          <w:szCs w:val="24"/>
          <w:lang w:val="en-US" w:eastAsia="zh-CN" w:bidi="ar"/>
        </w:rPr>
      </w:pPr>
      <w:r>
        <w:rPr>
          <w:rFonts w:hint="eastAsia" w:ascii="宋体" w:hAnsi="宋体" w:eastAsia="宋体" w:cs="宋体"/>
          <w:i w:val="0"/>
          <w:iCs w:val="0"/>
          <w:color w:val="000000"/>
          <w:sz w:val="24"/>
          <w:szCs w:val="24"/>
          <w:u w:val="none"/>
          <w:lang w:val="en-US" w:eastAsia="zh-CN" w:bidi="ar"/>
        </w:rPr>
        <w:t xml:space="preserve">注：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w:t>
      </w:r>
      <w:r>
        <w:rPr>
          <w:rStyle w:val="1307"/>
          <w:color w:val="000000"/>
          <w:sz w:val="24"/>
          <w:szCs w:val="24"/>
          <w:lang w:val="en-US" w:eastAsia="zh-CN" w:bidi="ar"/>
        </w:rPr>
        <w:t xml:space="preserve">〔</w:t>
      </w:r>
      <w:r>
        <w:rPr>
          <w:rStyle w:val="1317"/>
          <w:color w:val="000000"/>
          <w:sz w:val="24"/>
          <w:szCs w:val="24"/>
          <w:lang w:val="en-US" w:eastAsia="zh-CN" w:bidi="ar"/>
        </w:rPr>
        <w:t xml:space="preserve">2023</w:t>
      </w:r>
      <w:r>
        <w:rPr>
          <w:rStyle w:val="1307"/>
          <w:color w:val="000000"/>
          <w:sz w:val="24"/>
          <w:szCs w:val="24"/>
          <w:lang w:val="en-US" w:eastAsia="zh-CN" w:bidi="ar"/>
        </w:rPr>
        <w:t xml:space="preserve">〕</w:t>
      </w:r>
      <w:r>
        <w:rPr>
          <w:rStyle w:val="1317"/>
          <w:color w:val="000000"/>
          <w:sz w:val="24"/>
          <w:szCs w:val="24"/>
          <w:lang w:val="en-US" w:eastAsia="zh-CN" w:bidi="ar"/>
        </w:rPr>
        <w:t xml:space="preserve">41号文）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tabs>
          <w:tab w:val="left" w:pos="685" w:leader="none"/>
        </w:tabs>
        <w:rPr>
          <w:rFonts w:hint="eastAsia" w:ascii="宋体" w:hAnsi="宋体" w:eastAsia="宋体" w:cs="宋体"/>
          <w:color w:val="auto"/>
          <w:sz w:val="24"/>
          <w:szCs w:val="24"/>
          <w:highlight w:val="none"/>
        </w:rPr>
      </w:pPr>
      <w:r/>
      <w:bookmarkStart w:id="682" w:name="_Toc152045769"/>
      <w:r/>
      <w:bookmarkStart w:id="683" w:name="_Toc152042551"/>
      <w:r/>
      <w:bookmarkStart w:id="684" w:name="_Toc179632787"/>
      <w:r>
        <w:rPr>
          <w:rStyle w:val="1318"/>
          <w:rFonts w:hint="eastAsia" w:ascii="宋体" w:hAnsi="宋体" w:eastAsia="宋体" w:cs="宋体"/>
          <w:color w:val="auto"/>
          <w:sz w:val="24"/>
          <w:szCs w:val="24"/>
          <w:highlight w:val="none"/>
        </w:rPr>
        <w:t xml:space="preserve">附件：履约担保格式</w:t>
      </w:r>
      <w:bookmarkEnd w:id="682"/>
      <w:r/>
      <w:bookmarkEnd w:id="683"/>
      <w:r/>
      <w:bookmarkEnd w:id="684"/>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tabs>
          <w:tab w:val="left" w:pos="68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按照《住房和城乡建设部关于印发工程保函示范文本的通知》（建市〔2021〕11号）中明确的格式递交。</w:t>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 xml:space="preserve">合同附件1：</w:t>
      </w:r>
      <w:r/>
    </w:p>
    <w:p>
      <w:pPr>
        <w:jc w:val="center"/>
        <w:spacing w:before="120" w:after="120" w:line="440" w:lineRule="exact"/>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t xml:space="preserve">廉政合同书</w:t>
      </w:r>
      <w:r/>
    </w:p>
    <w:p>
      <w:pPr>
        <w:pStyle w:val="916"/>
        <w:ind w:right="0" w:firstLine="464"/>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eastAsia="zh-CN"/>
        </w:rPr>
        <w:t xml:space="preserve">九龙镇振东疏导点建设工程</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（以下简称本工程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
          <w:sz w:val="24"/>
          <w:szCs w:val="24"/>
          <w:highlight w:val="none"/>
        </w:rPr>
        <w:t xml:space="preserve">合同总价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92"/>
          <w:sz w:val="24"/>
          <w:szCs w:val="24"/>
          <w:highlight w:val="none"/>
        </w:rPr>
        <w:t xml:space="preserve"> </w:t>
      </w:r>
      <w:r>
        <w:rPr>
          <w:rFonts w:hint="eastAsia" w:ascii="宋体" w:hAnsi="宋体" w:eastAsia="宋体" w:cs="宋体"/>
          <w:color w:val="auto"/>
          <w:spacing w:val="-92"/>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万元。</w:t>
      </w:r>
      <w:r>
        <w:rPr>
          <w:rFonts w:hint="eastAsia" w:ascii="宋体" w:hAnsi="宋体" w:eastAsia="宋体" w:cs="宋体"/>
          <w:color w:val="auto"/>
          <w:spacing w:val="-6"/>
          <w:sz w:val="24"/>
          <w:szCs w:val="24"/>
          <w:highlight w:val="none"/>
        </w:rPr>
        <w:t xml:space="preserve">由建设单位</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泰州市九龙镇人民政府</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none"/>
        </w:rPr>
        <w:t xml:space="preserve">（</w:t>
      </w:r>
      <w:r>
        <w:rPr>
          <w:rFonts w:hint="eastAsia" w:ascii="宋体" w:hAnsi="宋体" w:eastAsia="宋体" w:cs="宋体"/>
          <w:color w:val="auto"/>
          <w:spacing w:val="-6"/>
          <w:sz w:val="24"/>
          <w:szCs w:val="24"/>
          <w:highlight w:val="none"/>
        </w:rPr>
        <w:t xml:space="preserve">以下简称甲方）负责建设，经招投标，由中标单位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spacing w:val="-6"/>
          <w:position w:val="-3"/>
          <w:sz w:val="24"/>
          <w:szCs w:val="24"/>
          <w:highlight w:val="none"/>
          <w:u w:val="single"/>
        </w:rPr>
        <w:t xml:space="preserve"> </w:t>
      </w:r>
      <w:r>
        <w:rPr>
          <w:rFonts w:hint="eastAsia" w:ascii="宋体" w:hAnsi="宋体" w:eastAsia="宋体" w:cs="宋体"/>
          <w:color w:val="auto"/>
          <w:spacing w:val="-6"/>
          <w:position w:val="-3"/>
          <w:sz w:val="24"/>
          <w:szCs w:val="24"/>
          <w:highlight w:val="none"/>
          <w:u w:val="single"/>
          <w:lang w:val="en-US" w:eastAsia="zh-CN"/>
        </w:rPr>
        <w:t xml:space="preserve">  </w:t>
      </w:r>
      <w:r>
        <w:rPr>
          <w:rFonts w:hint="eastAsia" w:ascii="宋体" w:hAnsi="宋体" w:eastAsia="宋体" w:cs="宋体"/>
          <w:color w:val="auto"/>
          <w:position w:val="-3"/>
          <w:sz w:val="24"/>
          <w:szCs w:val="24"/>
          <w:highlight w:val="none"/>
        </w:rPr>
        <w:t xml:space="preserve"> </w:t>
      </w:r>
      <w:r>
        <w:rPr>
          <w:rFonts w:hint="eastAsia" w:ascii="宋体" w:hAnsi="宋体" w:eastAsia="宋体" w:cs="宋体"/>
          <w:color w:val="auto"/>
          <w:spacing w:val="-1"/>
          <w:sz w:val="24"/>
          <w:szCs w:val="24"/>
          <w:highlight w:val="none"/>
        </w:rPr>
        <w:t xml:space="preserve">（以下简称乙方）承揽本工程。根据党和国家关于工程建设领域党风廉政建设和反腐败工作的有</w:t>
      </w:r>
      <w:r>
        <w:rPr>
          <w:rFonts w:hint="eastAsia" w:ascii="宋体" w:hAnsi="宋体" w:eastAsia="宋体" w:cs="宋体"/>
          <w:color w:val="auto"/>
          <w:spacing w:val="-3"/>
          <w:sz w:val="24"/>
          <w:szCs w:val="24"/>
          <w:highlight w:val="none"/>
        </w:rPr>
        <w:t xml:space="preserve">关要求，为避</w:t>
      </w:r>
      <w:r>
        <w:rPr>
          <w:rFonts w:hint="eastAsia" w:ascii="宋体" w:hAnsi="宋体" w:eastAsia="宋体" w:cs="宋体"/>
          <w:color w:val="auto"/>
          <w:spacing w:val="-1"/>
          <w:sz w:val="24"/>
          <w:szCs w:val="24"/>
          <w:highlight w:val="none"/>
        </w:rPr>
        <w:t xml:space="preserve">免和杜绝各种不廉洁现象的发生，维护好国家、集体的合法权益，确保工程建设高效、优质， 特订立如下工程建设廉政合同书，供双方共同遵守执行。</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第一条</w:t>
      </w:r>
      <w:r>
        <w:rPr>
          <w:rFonts w:hint="eastAsia" w:ascii="宋体" w:hAnsi="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双方共同遵守的约定</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（一）严格遵守党和国家有关法律及上级组织的有关规定。同时严格遵守国家关于市场准入、工程招标投标等有关法律、法规，相关政策，以及廉政建设的各项规定。</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（三）建立健全廉政制度，开展廉政教育和谈心谈话，设立廉政告示牌，公布举报电话，监督并认真查处违法违纪行为。</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（四）发现对方在业务活动中有违反廉政规定的行为，有及时提醒对方纠正的权利和义务。</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（五）发现对方严重违反本协议义务条款的行为，有向其上级有关部门举报、建议给予处理并要求告知处理结果的权利。</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第二条、甲方的义务</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（一）甲方及其工作人员不得索要或接受乙方的现金、代币购物券、债券股票等有价证券、消费 券、购物卡、商品提货单等各类支付凭证和其他贵重物品，不得以任何理由在乙方报销任何应由甲方或个人支付的费用等。</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（二）甲方工作人员不得参加乙方安排的超标准宴请和娱乐活动；不得接受乙方提供的通讯工具、交通工具和高档办公用品等。</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（三）甲方及其工作人员不得要求或者接受乙方为其住房装修、婚丧嫁娶活动、配偶子女的工作安排以及出国出境、旅游等提供方便。</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（四）甲方及其工作人员不得向乙方介绍或为配偶、子女、亲属参与同甲方项目工程施工合同有 关的设备、材料、工程分包、劳务等经济活动。不得以任何理由要求乙方购买项目工程施工合同规定以外的材料、设备等。</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（五）甲方工作人员不得在逢年过节、婚丧喜庆、工作调动、子女上学等方面收受乙方和相关单位的礼金、礼品。</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第三条、乙方的义务</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（一）乙方不得以任何理由向甲方及其工作人员赠送现金、代币购物券、债券股票等有价证券、 消费券、购物卡、商品提货单等各类支付凭证和其他贵重礼品，不得以任何名义为甲方及其工作人员报销由甲方单位或个人支付的任何费用。</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 乙方不得以任何理由安排甲方工作人员参加超标准宴请及娱乐活动； 不得为甲方及其工作人员购置或提供通讯工具、交通工具和高档办公用品等。</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（三）乙方不得为甲方及其工作人员的住房装修、婚丧嫁娶活动、配偶子女的工作安排以及出国出境、旅游等提供方便。</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（四）乙方不准以任何理由接受甲方人员的配偶、子女、亲属、熟人等参与本工程有关的设备、 材料、工程分包、劳务等经济活动。不得以任何理由为甲方购买项目工程施工合同规定以外的材料、设备等。</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（五）乙方不得利用逢年过节、婚丧喜庆、工作调动、子女上学等方面向甲方及其工作人员赠送礼金、礼品。</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第四条 违约责任</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（一）甲方工作人员违反本协议第一、二条的， 甲方按管理权限，依据有关规定给予党纪、政纪或组织处理；涉嫌犯罪的，移交司法机关追究刑事责任。</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（二）乙方及其工作人员违反本协议第一、三条的，乙方按管理权限，依据有关规定给予党纪、 政纪或组织处理；涉嫌犯罪的，移交司法机关追究刑事责任；给甲方造成经济损失的，应予以赔偿；情节严重的，甲方报请市建设行政管理部门根据相关规定给予处罚。</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第五条</w:t>
      </w:r>
      <w:r>
        <w:rPr>
          <w:rFonts w:hint="eastAsia" w:ascii="宋体" w:hAnsi="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监督检查</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本协议由甲乙双方负责监督， 或由甲乙双方的上级纪检监察机关对本协议履行情况进行检查，提出在本协议规定范围内的裁定意见。</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第六条 本协议有效期为双方签署之日起至该工程项目竣工交付止。</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第七条 本协议作为建设工程施工合同（协议书）的附件，与施工合同（协议书）具有同等的法律效力，经合同双方签</w:t>
      </w:r>
      <w:r>
        <w:rPr>
          <w:rFonts w:hint="eastAsia" w:ascii="宋体" w:hAnsi="宋体" w:eastAsia="宋体" w:cs="宋体"/>
          <w:color w:val="auto"/>
          <w:spacing w:val="-1"/>
          <w:sz w:val="24"/>
          <w:szCs w:val="24"/>
          <w:highlight w:val="none"/>
          <w:lang w:eastAsia="zh-CN"/>
        </w:rPr>
        <w:t xml:space="preserve">署后</w:t>
      </w:r>
      <w:r>
        <w:rPr>
          <w:rFonts w:hint="eastAsia" w:ascii="宋体" w:hAnsi="宋体" w:eastAsia="宋体" w:cs="宋体"/>
          <w:color w:val="auto"/>
          <w:spacing w:val="-1"/>
          <w:sz w:val="24"/>
          <w:szCs w:val="24"/>
          <w:highlight w:val="none"/>
        </w:rPr>
        <w:t xml:space="preserve">立即生效。</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第八条 本协议一式</w:t>
      </w:r>
      <w:r>
        <w:rPr>
          <w:rFonts w:hint="eastAsia" w:ascii="宋体" w:hAnsi="宋体" w:eastAsia="宋体" w:cs="宋体"/>
          <w:color w:val="auto"/>
          <w:spacing w:val="-1"/>
          <w:sz w:val="24"/>
          <w:szCs w:val="24"/>
          <w:highlight w:val="none"/>
          <w:u w:val="single"/>
        </w:rPr>
        <w:t xml:space="preserve"> 肆 </w:t>
      </w:r>
      <w:r>
        <w:rPr>
          <w:rFonts w:hint="eastAsia" w:ascii="宋体" w:hAnsi="宋体" w:eastAsia="宋体" w:cs="宋体"/>
          <w:color w:val="auto"/>
          <w:spacing w:val="-1"/>
          <w:sz w:val="24"/>
          <w:szCs w:val="24"/>
          <w:highlight w:val="none"/>
        </w:rPr>
        <w:t xml:space="preserve">份， 甲乙双方各执</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贰</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份</w:t>
      </w:r>
      <w:r>
        <w:rPr>
          <w:spacing w:val="5"/>
          <w:sz w:val="24"/>
          <w:szCs w:val="24"/>
        </w:rPr>
        <w:t xml:space="preserve">。</w:t>
      </w:r>
      <w:r/>
    </w:p>
    <w:p>
      <w:pPr>
        <w:pStyle w:val="916"/>
        <w:ind w:left="0" w:right="0" w:firstLine="22"/>
        <w:jc w:val="both"/>
        <w:spacing w:after="0" w:line="40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pStyle w:val="916"/>
        <w:ind w:left="0" w:right="0" w:firstLine="22"/>
        <w:jc w:val="both"/>
        <w:spacing w:after="0"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rPr>
        <w:t xml:space="preserve">甲方法人代表（签字</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6"/>
          <w:sz w:val="24"/>
          <w:szCs w:val="24"/>
          <w:highlight w:val="none"/>
        </w:rPr>
        <w:t xml:space="preserve">乙方法人代表（签字</w:t>
      </w:r>
      <w:r>
        <w:rPr>
          <w:rFonts w:hint="eastAsia" w:ascii="宋体" w:hAnsi="宋体" w:eastAsia="宋体" w:cs="宋体"/>
          <w:color w:val="auto"/>
          <w:spacing w:val="-5"/>
          <w:sz w:val="24"/>
          <w:szCs w:val="24"/>
          <w:highlight w:val="none"/>
        </w:rPr>
        <w:t xml:space="preserve">）：</w:t>
      </w:r>
      <w:r/>
    </w:p>
    <w:p>
      <w:pPr>
        <w:pStyle w:val="916"/>
        <w:ind w:left="63" w:right="63"/>
        <w:jc w:val="both"/>
        <w:spacing w:before="129" w:line="227"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5"/>
          <w:sz w:val="24"/>
          <w:szCs w:val="24"/>
          <w:highlight w:val="none"/>
        </w:rPr>
        <w:t xml:space="preserve">甲方单位（公章</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4"/>
          <w:sz w:val="24"/>
          <w:szCs w:val="24"/>
          <w:highlight w:val="none"/>
        </w:rPr>
        <w:t xml:space="preserve">乙方单位（公章</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2"/>
          <w:sz w:val="24"/>
          <w:szCs w:val="24"/>
          <w:highlight w:val="none"/>
        </w:rPr>
        <w:t xml:space="preserve">：</w:t>
      </w:r>
      <w:r/>
    </w:p>
    <w:p>
      <w:pPr>
        <w:pStyle w:val="916"/>
        <w:ind w:left="63" w:right="63" w:firstLine="6084"/>
        <w:jc w:val="both"/>
        <w:spacing w:before="129" w:line="227"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3"/>
          <w:sz w:val="24"/>
          <w:szCs w:val="24"/>
          <w:highlight w:val="none"/>
        </w:rPr>
        <w:t xml:space="preserve"> 年</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3"/>
          <w:sz w:val="24"/>
          <w:szCs w:val="24"/>
          <w:highlight w:val="none"/>
        </w:rPr>
        <w:t xml:space="preserve">月</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 xml:space="preserve">日</w:t>
      </w:r>
      <w:r/>
    </w:p>
    <w:p>
      <w:pPr>
        <w:pStyle w:val="916"/>
        <w:ind w:left="63" w:right="63"/>
        <w:jc w:val="both"/>
        <w:spacing w:before="72" w:line="219" w:lineRule="auto"/>
        <w:rPr>
          <w:rFonts w:hint="eastAsia" w:ascii="宋体" w:hAnsi="宋体" w:eastAsia="宋体" w:cs="宋体"/>
          <w:color w:val="auto"/>
          <w:spacing w:val="-9"/>
          <w:sz w:val="22"/>
          <w:highlight w:val="none"/>
        </w:rPr>
      </w:pPr>
      <w:r>
        <w:rPr>
          <w:rFonts w:hint="eastAsia" w:ascii="宋体" w:hAnsi="宋体" w:eastAsia="宋体" w:cs="宋体"/>
          <w:color w:val="auto"/>
          <w:spacing w:val="-9"/>
          <w:sz w:val="22"/>
          <w:highlight w:val="none"/>
        </w:rPr>
      </w:r>
      <w:r/>
    </w:p>
    <w:p>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附件 2：</w:t>
      </w:r>
      <w:r/>
    </w:p>
    <w:p>
      <w:pPr>
        <w:pStyle w:val="916"/>
        <w:ind w:left="63" w:right="63" w:firstLine="3373"/>
        <w:spacing w:before="25" w:line="228" w:lineRule="auto"/>
        <w:rPr>
          <w:rFonts w:hint="eastAsia" w:ascii="宋体" w:hAnsi="宋体" w:eastAsia="宋体" w:cs="宋体"/>
          <w:b/>
          <w:bCs/>
          <w:color w:val="auto"/>
          <w:sz w:val="28"/>
          <w:szCs w:val="44"/>
          <w:highlight w:val="none"/>
          <w:lang w:val="en-US" w:eastAsia="zh-CN" w:bidi="ar-SA"/>
        </w:rPr>
      </w:pPr>
      <w:r>
        <w:rPr>
          <w:rFonts w:hint="eastAsia" w:ascii="宋体" w:hAnsi="宋体" w:eastAsia="宋体" w:cs="宋体"/>
          <w:b/>
          <w:bCs/>
          <w:color w:val="auto"/>
          <w:sz w:val="28"/>
          <w:szCs w:val="44"/>
          <w:highlight w:val="none"/>
          <w:lang w:val="en-US" w:eastAsia="zh-CN" w:bidi="ar-SA"/>
        </w:rPr>
        <w:t xml:space="preserve">工程质量保修书</w:t>
      </w:r>
      <w:r/>
    </w:p>
    <w:p>
      <w:pPr>
        <w:pStyle w:val="916"/>
        <w:ind w:left="0" w:right="0"/>
        <w:jc w:val="both"/>
        <w:keepLines w:val="0"/>
        <w:keepNext w:val="0"/>
        <w:pageBreakBefore w:val="0"/>
        <w:spacing w:after="0"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5"/>
          <w:sz w:val="24"/>
          <w:szCs w:val="24"/>
          <w:highlight w:val="none"/>
        </w:rPr>
        <w:t xml:space="preserve">发包人（全称</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98"/>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泰州市九龙镇人民政府</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     </w:t>
      </w:r>
      <w:r/>
    </w:p>
    <w:p>
      <w:pPr>
        <w:pStyle w:val="916"/>
        <w:ind w:left="0" w:right="0"/>
        <w:jc w:val="both"/>
        <w:keepLines w:val="0"/>
        <w:keepNext w:val="0"/>
        <w:pageBreakBefore w:val="0"/>
        <w:spacing w:after="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承包人</w:t>
      </w:r>
      <w:r>
        <w:rPr>
          <w:rFonts w:hint="eastAsia" w:ascii="宋体" w:hAnsi="宋体" w:eastAsia="宋体" w:cs="宋体"/>
          <w:color w:val="auto"/>
          <w:spacing w:val="-12"/>
          <w:sz w:val="24"/>
          <w:szCs w:val="24"/>
          <w:highlight w:val="none"/>
        </w:rPr>
        <w:t xml:space="preserve">（全称</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u w:val="single"/>
        </w:rPr>
        <w:t xml:space="preserve">                           </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pacing w:val="-1"/>
          <w:sz w:val="24"/>
          <w:szCs w:val="24"/>
          <w:highlight w:val="none"/>
          <w:u w:val="single"/>
          <w:lang w:eastAsia="zh-CN"/>
        </w:rPr>
        <w:t xml:space="preserve">九龙镇振东疏导点建设工程</w:t>
      </w:r>
      <w:r>
        <w:rPr>
          <w:rFonts w:hint="eastAsia" w:ascii="宋体" w:hAnsi="宋体" w:eastAsia="宋体" w:cs="宋体"/>
          <w:color w:val="auto"/>
          <w:spacing w:val="-1"/>
          <w:sz w:val="24"/>
          <w:szCs w:val="24"/>
          <w:highlight w:val="none"/>
        </w:rPr>
        <w:t xml:space="preserve">（工程全称）签订工程质量保修书。</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一、工程质量保修范围和内容</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承包人在质量保修期内，按照有关法律规定和合同约定，承担工程质量保修责任。</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 。</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二、质量保修期</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根据《建设工程质量管理条例》及有关规定，工程的质量保修期如下：</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rPr>
        <w:t xml:space="preserve">基础设施工程、地基基础工程和主体结构工程为设计文件规定的工程合理使用年限；</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2.</w:t>
      </w:r>
      <w:r>
        <w:rPr>
          <w:rFonts w:hint="eastAsia" w:ascii="宋体" w:hAnsi="宋体" w:eastAsia="宋体" w:cs="宋体"/>
          <w:color w:val="auto"/>
          <w:spacing w:val="-1"/>
          <w:sz w:val="24"/>
          <w:szCs w:val="24"/>
          <w:highlight w:val="none"/>
        </w:rPr>
        <w:t xml:space="preserve">屋面防水工程、有防水要求的卫生间、房间和外墙面的防渗为</w:t>
      </w:r>
      <w:r>
        <w:rPr>
          <w:rFonts w:hint="eastAsia" w:ascii="宋体" w:hAnsi="宋体" w:eastAsia="宋体" w:cs="宋体"/>
          <w:color w:val="auto"/>
          <w:spacing w:val="-1"/>
          <w:sz w:val="24"/>
          <w:szCs w:val="24"/>
          <w:highlight w:val="none"/>
          <w:u w:val="single"/>
        </w:rPr>
        <w:t xml:space="preserve"> 5 </w:t>
      </w:r>
      <w:r>
        <w:rPr>
          <w:rFonts w:hint="eastAsia" w:ascii="宋体" w:hAnsi="宋体" w:eastAsia="宋体" w:cs="宋体"/>
          <w:color w:val="auto"/>
          <w:spacing w:val="-1"/>
          <w:sz w:val="24"/>
          <w:szCs w:val="24"/>
          <w:highlight w:val="none"/>
        </w:rPr>
        <w:t xml:space="preserve">年；</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3.</w:t>
      </w:r>
      <w:r>
        <w:rPr>
          <w:rFonts w:hint="eastAsia" w:ascii="宋体" w:hAnsi="宋体" w:eastAsia="宋体" w:cs="宋体"/>
          <w:color w:val="auto"/>
          <w:spacing w:val="-1"/>
          <w:sz w:val="24"/>
          <w:szCs w:val="24"/>
          <w:highlight w:val="none"/>
        </w:rPr>
        <w:t xml:space="preserve">装修工程为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4.</w:t>
      </w:r>
      <w:r>
        <w:rPr>
          <w:rFonts w:hint="eastAsia" w:ascii="宋体" w:hAnsi="宋体" w:eastAsia="宋体" w:cs="宋体"/>
          <w:color w:val="auto"/>
          <w:spacing w:val="-1"/>
          <w:sz w:val="24"/>
          <w:szCs w:val="24"/>
          <w:highlight w:val="none"/>
        </w:rPr>
        <w:t xml:space="preserve">电气管线、给排水管道、设备安装工程为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5.</w:t>
      </w:r>
      <w:r>
        <w:rPr>
          <w:rFonts w:hint="eastAsia" w:ascii="宋体" w:hAnsi="宋体" w:eastAsia="宋体" w:cs="宋体"/>
          <w:color w:val="auto"/>
          <w:spacing w:val="-1"/>
          <w:sz w:val="24"/>
          <w:szCs w:val="24"/>
          <w:highlight w:val="none"/>
        </w:rPr>
        <w:t xml:space="preserve">供热与供冷系统为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个采暖期、供冷期；</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6.</w:t>
      </w:r>
      <w:r>
        <w:rPr>
          <w:rFonts w:hint="eastAsia" w:ascii="宋体" w:hAnsi="宋体" w:eastAsia="宋体" w:cs="宋体"/>
          <w:color w:val="auto"/>
          <w:spacing w:val="-1"/>
          <w:sz w:val="24"/>
          <w:szCs w:val="24"/>
          <w:highlight w:val="none"/>
        </w:rPr>
        <w:t xml:space="preserve">住宅小区内的给排水设施、道路等配套工程为</w:t>
      </w:r>
      <w:r>
        <w:rPr>
          <w:rFonts w:hint="eastAsia" w:ascii="宋体" w:hAnsi="宋体" w:eastAsia="宋体" w:cs="宋体"/>
          <w:color w:val="auto"/>
          <w:spacing w:val="-1"/>
          <w:sz w:val="24"/>
          <w:szCs w:val="24"/>
          <w:highlight w:val="none"/>
          <w:u w:val="single"/>
        </w:rPr>
        <w:t xml:space="preserve"> 2 </w:t>
      </w:r>
      <w:r>
        <w:rPr>
          <w:rFonts w:hint="eastAsia" w:ascii="宋体" w:hAnsi="宋体" w:eastAsia="宋体" w:cs="宋体"/>
          <w:color w:val="auto"/>
          <w:spacing w:val="-1"/>
          <w:sz w:val="24"/>
          <w:szCs w:val="24"/>
          <w:highlight w:val="none"/>
        </w:rPr>
        <w:t xml:space="preserve">年；</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7.</w:t>
      </w:r>
      <w:r>
        <w:rPr>
          <w:rFonts w:hint="eastAsia" w:ascii="宋体" w:hAnsi="宋体" w:eastAsia="宋体" w:cs="宋体"/>
          <w:color w:val="auto"/>
          <w:spacing w:val="-1"/>
          <w:sz w:val="24"/>
          <w:szCs w:val="24"/>
          <w:highlight w:val="none"/>
        </w:rPr>
        <w:t xml:space="preserve">其他项目保修期限约定如下：</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按磋商文件执行</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  </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质量保修期自工程竣工验收合格之日起计算。</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三、缺陷责任期</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工程缺陷责任期为</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个月，缺陷责任期自工程通过竣工验收之日起计算。单位工程先于全部工程进行验收，单位工程缺陷责任期自单位工程验收合格之日起算。</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缺陷责任期终止后，发包人应退还剩余的质量保证金。</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四、质量保修责任</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
          <w:sz w:val="24"/>
          <w:szCs w:val="24"/>
          <w:highlight w:val="none"/>
        </w:rPr>
        <w:t xml:space="preserve">属于保修范围、内容的项目，承包人应当在接到保修通知之日起 7 天内派人保修。承包人不在约定期限内派人保修的，发包人可以委托他人修理。</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2.</w:t>
      </w:r>
      <w:r>
        <w:rPr>
          <w:rFonts w:hint="eastAsia" w:ascii="宋体" w:hAnsi="宋体" w:eastAsia="宋体" w:cs="宋体"/>
          <w:color w:val="auto"/>
          <w:spacing w:val="-1"/>
          <w:sz w:val="24"/>
          <w:szCs w:val="24"/>
          <w:highlight w:val="none"/>
        </w:rPr>
        <w:t xml:space="preserve">发生紧急事故需抢修的，承包人在接到事故通知后，应当立即到达事故现场抢修。</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eastAsia="zh-CN"/>
        </w:rPr>
        <w:t xml:space="preserve">3.</w:t>
      </w:r>
      <w:r>
        <w:rPr>
          <w:rFonts w:hint="eastAsia" w:ascii="宋体" w:hAnsi="宋体" w:eastAsia="宋体" w:cs="宋体"/>
          <w:color w:val="auto"/>
          <w:spacing w:val="-1"/>
          <w:sz w:val="24"/>
          <w:szCs w:val="24"/>
          <w:highlight w:val="none"/>
        </w:rPr>
        <w:t xml:space="preserve">对于涉及结构安全的质量问题，应当按照《建设工程质量管理条例》的规定，立即向当地建 设行政主管部门和有关部门报告，采取安全防范措施，并由原设计人或者具有相应资质等级的设计人提出保修方案，承包人实施保修。</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rPr>
        <w:t xml:space="preserve">4．质量保修完成后，由发包人组织验收。</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五、保修费用</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保修费用由造成质量缺陷的责任方承担。</w:t>
      </w:r>
      <w:r/>
    </w:p>
    <w:p>
      <w:pPr>
        <w:pStyle w:val="916"/>
        <w:ind w:left="0" w:right="0" w:firstLine="456"/>
        <w:jc w:val="both"/>
        <w:keepLines w:val="0"/>
        <w:keepNext w:val="0"/>
        <w:pageBreakBefore w:val="0"/>
        <w:spacing w:after="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6"/>
          <w:sz w:val="24"/>
          <w:szCs w:val="24"/>
          <w:highlight w:val="none"/>
        </w:rPr>
        <w:t xml:space="preserve">六、双方约定的其他工程质量保修事项：</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none"/>
        </w:rPr>
        <w:t xml:space="preserve">。  </w:t>
      </w:r>
      <w:r/>
    </w:p>
    <w:p>
      <w:pPr>
        <w:pStyle w:val="916"/>
        <w:ind w:left="0" w:right="0" w:firstLine="476"/>
        <w:jc w:val="both"/>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工程质量保修书由发包人、承包人在工程竣工验收前共同签署，作为施工合同附件，其有效期限至保修期满。</w:t>
      </w:r>
      <w:r/>
    </w:p>
    <w:p>
      <w:pPr>
        <w:spacing w:before="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07"/>
        <w:tblW w:w="6981"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93"/>
        <w:gridCol w:w="2888"/>
      </w:tblGrid>
      <w:tr>
        <w:trPr>
          <w:trHeight w:val="310"/>
        </w:trPr>
        <w:tc>
          <w:tcPr>
            <w:tcW w:w="4093" w:type="dxa"/>
            <w:vAlign w:val="top"/>
            <w:textDirection w:val="lrTb"/>
            <w:noWrap w:val="false"/>
          </w:tcPr>
          <w:p>
            <w:pPr>
              <w:pStyle w:val="1212"/>
              <w:ind w:left="4"/>
              <w:jc w:val="both"/>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发包人(公章)：</w:t>
            </w:r>
            <w:r/>
          </w:p>
        </w:tc>
        <w:tc>
          <w:tcPr>
            <w:tcW w:w="2888" w:type="dxa"/>
            <w:vAlign w:val="top"/>
            <w:textDirection w:val="lrTb"/>
            <w:noWrap w:val="false"/>
          </w:tcPr>
          <w:p>
            <w:pPr>
              <w:pStyle w:val="1212"/>
              <w:jc w:val="both"/>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承包人(公章)：</w:t>
            </w:r>
            <w:r/>
          </w:p>
        </w:tc>
      </w:tr>
      <w:tr>
        <w:trPr>
          <w:trHeight w:val="409"/>
        </w:trPr>
        <w:tc>
          <w:tcPr>
            <w:tcW w:w="4093" w:type="dxa"/>
            <w:vAlign w:val="top"/>
            <w:textDirection w:val="lrTb"/>
            <w:noWrap w:val="false"/>
          </w:tcPr>
          <w:p>
            <w:pPr>
              <w:pStyle w:val="1212"/>
              <w:jc w:val="both"/>
              <w:spacing w:before="97" w:line="22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地 址：</w:t>
            </w:r>
            <w:r/>
          </w:p>
        </w:tc>
        <w:tc>
          <w:tcPr>
            <w:tcW w:w="2888" w:type="dxa"/>
            <w:vAlign w:val="top"/>
            <w:textDirection w:val="lrTb"/>
            <w:noWrap w:val="false"/>
          </w:tcPr>
          <w:p>
            <w:pPr>
              <w:pStyle w:val="1212"/>
              <w:jc w:val="both"/>
              <w:spacing w:before="9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地</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2"/>
                <w:sz w:val="24"/>
                <w:szCs w:val="24"/>
                <w:highlight w:val="none"/>
              </w:rPr>
              <w:t xml:space="preserve">址：</w:t>
            </w:r>
            <w:r/>
          </w:p>
        </w:tc>
      </w:tr>
      <w:tr>
        <w:trPr>
          <w:trHeight w:val="409"/>
        </w:trPr>
        <w:tc>
          <w:tcPr>
            <w:tcW w:w="4093" w:type="dxa"/>
            <w:vAlign w:val="top"/>
            <w:textDirection w:val="lrTb"/>
            <w:noWrap w:val="false"/>
          </w:tcPr>
          <w:p>
            <w:pPr>
              <w:pStyle w:val="1212"/>
              <w:ind w:left="1"/>
              <w:jc w:val="both"/>
              <w:spacing w:before="98"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法定代表人(签字)：</w:t>
            </w:r>
            <w:r/>
          </w:p>
        </w:tc>
        <w:tc>
          <w:tcPr>
            <w:tcW w:w="2888" w:type="dxa"/>
            <w:vAlign w:val="top"/>
            <w:textDirection w:val="lrTb"/>
            <w:noWrap w:val="false"/>
          </w:tcPr>
          <w:p>
            <w:pPr>
              <w:pStyle w:val="1212"/>
              <w:jc w:val="both"/>
              <w:spacing w:before="98"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法定代表人(签字)：</w:t>
            </w:r>
            <w:r/>
          </w:p>
        </w:tc>
      </w:tr>
      <w:tr>
        <w:trPr>
          <w:trHeight w:val="408"/>
        </w:trPr>
        <w:tc>
          <w:tcPr>
            <w:tcW w:w="4093" w:type="dxa"/>
            <w:vAlign w:val="top"/>
            <w:textDirection w:val="lrTb"/>
            <w:noWrap w:val="false"/>
          </w:tcPr>
          <w:p>
            <w:pPr>
              <w:pStyle w:val="1212"/>
              <w:jc w:val="both"/>
              <w:spacing w:before="97"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委托代理人(签字)：</w:t>
            </w:r>
            <w:r/>
          </w:p>
        </w:tc>
        <w:tc>
          <w:tcPr>
            <w:tcW w:w="2888" w:type="dxa"/>
            <w:vAlign w:val="top"/>
            <w:textDirection w:val="lrTb"/>
            <w:noWrap w:val="false"/>
          </w:tcPr>
          <w:p>
            <w:pPr>
              <w:pStyle w:val="1212"/>
              <w:jc w:val="both"/>
              <w:spacing w:before="98"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委托代理人(签字)：</w:t>
            </w:r>
            <w:r/>
          </w:p>
        </w:tc>
      </w:tr>
      <w:tr>
        <w:trPr>
          <w:trHeight w:val="380"/>
        </w:trPr>
        <w:tc>
          <w:tcPr>
            <w:tcW w:w="4093" w:type="dxa"/>
            <w:vAlign w:val="top"/>
            <w:textDirection w:val="lrTb"/>
            <w:noWrap w:val="false"/>
          </w:tcPr>
          <w:p>
            <w:pPr>
              <w:pStyle w:val="1212"/>
              <w:ind w:left="0" w:firstLine="0"/>
              <w:jc w:val="both"/>
              <w:spacing w:before="98" w:line="17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 话：  </w:t>
            </w:r>
            <w:r/>
          </w:p>
        </w:tc>
        <w:tc>
          <w:tcPr>
            <w:tcW w:w="2888" w:type="dxa"/>
            <w:vAlign w:val="top"/>
            <w:textDirection w:val="lrTb"/>
            <w:noWrap w:val="false"/>
          </w:tcPr>
          <w:p>
            <w:pPr>
              <w:pStyle w:val="1212"/>
              <w:jc w:val="both"/>
              <w:spacing w:before="98" w:line="17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 话：</w:t>
            </w:r>
            <w:r/>
          </w:p>
        </w:tc>
      </w:tr>
    </w:tbl>
    <w:p>
      <w:pPr>
        <w:pStyle w:val="1212"/>
        <w:jc w:val="both"/>
        <w:spacing w:before="97" w:line="221" w:lineRule="auto"/>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rPr>
        <w:t xml:space="preserve">传 真：</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传 真：</w:t>
      </w:r>
      <w:r/>
    </w:p>
    <w:p>
      <w:pPr>
        <w:pStyle w:val="1212"/>
        <w:jc w:val="both"/>
        <w:spacing w:before="97" w:line="221"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邮政编码：</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邮政编码：</w:t>
      </w:r>
      <w:r/>
    </w:p>
    <w:p>
      <w:pPr>
        <w:pStyle w:val="916"/>
        <w:jc w:val="both"/>
        <w:spacing w:beforeAutospacing="0" w:line="192" w:lineRule="auto"/>
        <w:rPr>
          <w:rFonts w:hint="default" w:eastAsia="宋体"/>
          <w:sz w:val="24"/>
          <w:szCs w:val="24"/>
          <w:lang w:val="en-US" w:eastAsia="zh-CN"/>
        </w:rPr>
      </w:pPr>
      <w:r>
        <w:rPr>
          <w:rFonts w:hint="default" w:eastAsia="宋体"/>
          <w:sz w:val="24"/>
          <w:szCs w:val="24"/>
          <w:lang w:val="en-US" w:eastAsia="zh-CN"/>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ind w:left="2940"/>
        <w:keepLines w:val="0"/>
        <w:keepNext/>
        <w:pageBreakBefore w:val="0"/>
        <w:spacing w:line="360" w:lineRule="auto"/>
        <w:rPr>
          <w:rFonts w:hint="eastAsia" w:ascii="宋体" w:hAnsi="宋体" w:eastAsia="宋体" w:cs="宋体"/>
          <w:b/>
          <w:bCs/>
          <w:color w:val="000000"/>
          <w:sz w:val="30"/>
          <w:szCs w:val="30"/>
        </w:rPr>
        <w:outlineLvl w:val="0"/>
      </w:pPr>
      <w:r>
        <w:rPr>
          <w:rFonts w:hint="eastAsia" w:ascii="宋体" w:hAnsi="宋体" w:eastAsia="宋体" w:cs="宋体"/>
          <w:b/>
          <w:color w:val="000000"/>
          <w:sz w:val="30"/>
          <w:szCs w:val="30"/>
        </w:rPr>
        <w:t xml:space="preserve">第四章 </w:t>
      </w:r>
      <w:r>
        <w:rPr>
          <w:rFonts w:hint="eastAsia" w:ascii="宋体" w:hAnsi="宋体" w:eastAsia="宋体" w:cs="宋体"/>
          <w:b/>
          <w:bCs/>
          <w:color w:val="000000"/>
          <w:sz w:val="30"/>
          <w:szCs w:val="30"/>
        </w:rPr>
        <w:t xml:space="preserve">项目采购需求</w:t>
      </w:r>
      <w:r/>
    </w:p>
    <w:p>
      <w:pPr>
        <w:pStyle w:val="1011"/>
        <w:ind w:left="0" w:firstLine="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一、工程概况</w:t>
      </w:r>
      <w:r/>
    </w:p>
    <w:p>
      <w:pPr>
        <w:numPr>
          <w:ilvl w:val="0"/>
          <w:numId w:val="0"/>
        </w:num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lang w:val="en-US" w:eastAsia="zh-CN"/>
        </w:rPr>
        <w:t xml:space="preserve">为消除安全隐患，提升城市治理水平，满足广大居民的生活需要，实现城市常态长效管理，九龙镇根据“疏堵结合、便民利民、规范管理”的原则，拟利用龙翔路北侧闲置地块规划建设“便民疏导点”。占地面积8000平方米，建设内容</w:t>
      </w:r>
      <w:r>
        <w:rPr>
          <w:rFonts w:hint="eastAsia" w:ascii="宋体" w:hAnsi="宋体" w:cs="宋体"/>
          <w:sz w:val="24"/>
          <w:szCs w:val="24"/>
          <w:highlight w:val="none"/>
          <w:lang w:val="en-US" w:eastAsia="zh-CN"/>
        </w:rPr>
        <w:t xml:space="preserve">包含农贸大棚土建、钢结构、硬质化地面、围挡围栏、雨污水管网、水电安装、路灯照明和成品化商铺等。</w:t>
      </w:r>
      <w:r/>
    </w:p>
    <w:p>
      <w:pPr>
        <w:pStyle w:val="943"/>
        <w:ind w:left="0" w:right="0"/>
        <w:jc w:val="both"/>
        <w:keepLines w:val="0"/>
        <w:keepNext w:val="0"/>
        <w:pageBreakBefore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二、项目具体需求说明</w:t>
      </w:r>
      <w:r/>
    </w:p>
    <w:p>
      <w:pPr>
        <w:pStyle w:val="943"/>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u w:val="none"/>
          <w:lang w:val="en-US" w:eastAsia="zh-CN"/>
        </w:rPr>
        <w:t xml:space="preserve">1.具体内容</w:t>
      </w:r>
      <w:r>
        <w:rPr>
          <w:rFonts w:hint="eastAsia" w:cs="宋体"/>
          <w:color w:val="000000"/>
          <w:sz w:val="24"/>
          <w:szCs w:val="24"/>
          <w:highlight w:val="none"/>
          <w:u w:val="none"/>
          <w:lang w:val="en-US" w:eastAsia="zh-CN"/>
        </w:rPr>
        <w:t xml:space="preserve">包括农贸大棚土建、钢结构、</w:t>
      </w:r>
      <w:r>
        <w:rPr>
          <w:rFonts w:hint="eastAsia" w:ascii="宋体" w:hAnsi="宋体" w:cs="宋体"/>
          <w:sz w:val="24"/>
          <w:szCs w:val="24"/>
          <w:highlight w:val="none"/>
          <w:lang w:val="en-US" w:eastAsia="zh-CN"/>
        </w:rPr>
        <w:t xml:space="preserve">硬质化地面、围挡围栏、雨污水管网、水电安装、路灯照明和成品化商铺等</w:t>
      </w:r>
      <w:r>
        <w:rPr>
          <w:rFonts w:hint="eastAsia" w:cs="宋体"/>
          <w:sz w:val="24"/>
          <w:szCs w:val="24"/>
          <w:highlight w:val="none"/>
          <w:lang w:val="en-US" w:eastAsia="zh-CN"/>
        </w:rPr>
        <w:t xml:space="preserve">，</w:t>
      </w:r>
      <w:r>
        <w:rPr>
          <w:rFonts w:hint="eastAsia" w:ascii="宋体" w:hAnsi="宋体" w:eastAsia="宋体" w:cs="宋体"/>
          <w:color w:val="000000"/>
          <w:sz w:val="24"/>
          <w:szCs w:val="24"/>
          <w:highlight w:val="none"/>
          <w:u w:val="none"/>
          <w:lang w:val="en-US" w:eastAsia="zh-CN"/>
        </w:rPr>
        <w:t xml:space="preserve">详见工程量清单及图纸。</w:t>
      </w:r>
      <w:r/>
    </w:p>
    <w:p>
      <w:pPr>
        <w:ind w:firstLine="480"/>
        <w:jc w:val="left"/>
        <w:spacing w:line="440" w:lineRule="exact"/>
        <w:rPr>
          <w:rFonts w:hint="eastAsia" w:ascii="宋体" w:hAnsi="宋体"/>
          <w:color w:val="auto"/>
          <w:sz w:val="24"/>
          <w:highlight w:val="non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color w:val="auto"/>
          <w:sz w:val="24"/>
          <w:highlight w:val="none"/>
        </w:rPr>
        <w:t xml:space="preserve">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color w:val="auto"/>
          <w:sz w:val="24"/>
          <w:highlight w:val="none"/>
          <w:lang w:eastAsia="zh-CN"/>
        </w:rPr>
        <w:t xml:space="preserve">其他任何</w:t>
      </w:r>
      <w:r>
        <w:rPr>
          <w:rFonts w:hint="eastAsia" w:ascii="宋体" w:hAnsi="宋体"/>
          <w:color w:val="auto"/>
          <w:sz w:val="24"/>
          <w:highlight w:val="none"/>
        </w:rPr>
        <w:t xml:space="preserve">费用。  </w:t>
      </w:r>
      <w:r/>
    </w:p>
    <w:p>
      <w:pPr>
        <w:pStyle w:val="943"/>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u w:val="none"/>
          <w:lang w:val="en-US" w:eastAsia="zh-CN"/>
        </w:rPr>
        <w:t xml:space="preserve">3.磋商报价表中的磋商总价的暂列金额应当与构成已标价工程量清单的暂列金额的金额一致。</w:t>
      </w:r>
      <w:r/>
    </w:p>
    <w:p>
      <w:pPr>
        <w:pStyle w:val="943"/>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cs="宋体"/>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bidi="ar-SA"/>
        </w:rPr>
        <w:t xml:space="preserve">4.付款方式：</w:t>
      </w:r>
      <w:r>
        <w:rPr>
          <w:rFonts w:hint="eastAsia" w:ascii="宋体" w:hAnsi="宋体" w:cs="宋体"/>
          <w:color w:val="000000"/>
          <w:sz w:val="24"/>
          <w:szCs w:val="24"/>
          <w:highlight w:val="none"/>
          <w:u w:val="none"/>
          <w:lang w:val="en-US" w:eastAsia="zh-CN"/>
        </w:rPr>
        <w:t xml:space="preserve">工程</w:t>
      </w:r>
      <w:r>
        <w:rPr>
          <w:rFonts w:hint="eastAsia" w:cs="宋体"/>
          <w:color w:val="000000"/>
          <w:sz w:val="24"/>
          <w:szCs w:val="24"/>
          <w:highlight w:val="none"/>
          <w:u w:val="none"/>
          <w:lang w:val="en-US" w:eastAsia="zh-CN"/>
        </w:rPr>
        <w:t xml:space="preserve">竣</w:t>
      </w:r>
      <w:r>
        <w:rPr>
          <w:rFonts w:hint="eastAsia" w:ascii="宋体" w:hAnsi="宋体" w:cs="宋体"/>
          <w:color w:val="000000"/>
          <w:sz w:val="24"/>
          <w:szCs w:val="24"/>
          <w:highlight w:val="none"/>
          <w:u w:val="none"/>
          <w:lang w:val="en-US" w:eastAsia="zh-CN"/>
        </w:rPr>
        <w:t xml:space="preserve">工验收合格后付至合同价（扣除暂列金额）的80%，工程</w:t>
      </w:r>
      <w:r>
        <w:rPr>
          <w:rFonts w:hint="eastAsia" w:cs="宋体"/>
          <w:color w:val="000000"/>
          <w:sz w:val="24"/>
          <w:szCs w:val="24"/>
          <w:highlight w:val="none"/>
          <w:u w:val="none"/>
          <w:lang w:val="en-US" w:eastAsia="zh-CN"/>
        </w:rPr>
        <w:t xml:space="preserve">竣</w:t>
      </w:r>
      <w:r>
        <w:rPr>
          <w:rFonts w:hint="eastAsia" w:ascii="宋体" w:hAnsi="宋体" w:cs="宋体"/>
          <w:color w:val="000000"/>
          <w:sz w:val="24"/>
          <w:szCs w:val="24"/>
          <w:highlight w:val="none"/>
          <w:u w:val="none"/>
          <w:lang w:val="en-US" w:eastAsia="zh-CN"/>
        </w:rPr>
        <w:t xml:space="preserve">工结算核对并双方确认签字后付至双方确认价的97%，工程缺陷责任期满后结清余款（此工程所涉及款项皆不计取利息）。</w:t>
      </w:r>
      <w:r/>
    </w:p>
    <w:p>
      <w:pPr>
        <w:ind w:firstLine="480"/>
        <w:keepLines w:val="0"/>
        <w:keepNext w:val="0"/>
        <w:pageBreakBefore w:val="0"/>
        <w:spacing w:line="360" w:lineRule="auto"/>
        <w:widowControl w:val="off"/>
        <w:tabs>
          <w:tab w:val="left" w:pos="900" w:leader="none"/>
        </w:tabs>
        <w:rPr>
          <w:rFonts w:hint="default" w:ascii="宋体" w:hAnsi="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bidi="ar-SA"/>
        </w:rPr>
        <w:t xml:space="preserve">5.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施工要求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本工程</w:t>
      </w:r>
      <w:r>
        <w:rPr>
          <w:rFonts w:hint="eastAsia" w:ascii="宋体" w:hAnsi="宋体" w:cs="宋体"/>
          <w:color w:val="auto"/>
          <w:sz w:val="24"/>
          <w:szCs w:val="24"/>
          <w:highlight w:val="none"/>
          <w:lang w:val="en-US" w:eastAsia="zh-CN"/>
        </w:rPr>
        <w:t xml:space="preserve">合同履行期限35日历天</w:t>
      </w:r>
      <w:r>
        <w:rPr>
          <w:rFonts w:hint="eastAsia" w:ascii="宋体" w:hAnsi="宋体" w:eastAsia="宋体" w:cs="宋体"/>
          <w:color w:val="auto"/>
          <w:sz w:val="24"/>
          <w:szCs w:val="24"/>
          <w:highlight w:val="none"/>
          <w:lang w:val="en-US" w:eastAsia="zh-CN"/>
        </w:rPr>
        <w:t xml:space="preserve">，每延误一天罚款2000元。本工程质量保修期为2年，从工程</w:t>
      </w:r>
      <w:r>
        <w:rPr>
          <w:rFonts w:hint="eastAsia" w:ascii="宋体" w:hAnsi="宋体" w:cs="宋体"/>
          <w:color w:val="auto"/>
          <w:sz w:val="24"/>
          <w:szCs w:val="24"/>
          <w:highlight w:val="none"/>
          <w:lang w:val="en-US" w:eastAsia="zh-CN"/>
        </w:rPr>
        <w:t xml:space="preserve">竣工</w:t>
      </w:r>
      <w:r>
        <w:rPr>
          <w:rFonts w:hint="eastAsia" w:ascii="宋体" w:hAnsi="宋体" w:eastAsia="宋体" w:cs="宋体"/>
          <w:color w:val="auto"/>
          <w:sz w:val="24"/>
          <w:szCs w:val="24"/>
          <w:highlight w:val="none"/>
          <w:lang w:val="en-US" w:eastAsia="zh-CN"/>
        </w:rPr>
        <w:t xml:space="preserve">验收合格之日起</w:t>
      </w:r>
      <w:r>
        <w:rPr>
          <w:rFonts w:hint="eastAsia" w:ascii="宋体" w:hAnsi="宋体" w:cs="宋体"/>
          <w:color w:val="auto"/>
          <w:sz w:val="24"/>
          <w:szCs w:val="24"/>
          <w:highlight w:val="none"/>
          <w:lang w:val="en-US" w:eastAsia="zh-CN"/>
        </w:rPr>
        <w:t xml:space="preserve">计算</w:t>
      </w:r>
      <w:r>
        <w:rPr>
          <w:rFonts w:hint="eastAsia" w:ascii="宋体" w:hAnsi="宋体" w:eastAsia="宋体" w:cs="宋体"/>
          <w:color w:val="auto"/>
          <w:sz w:val="24"/>
          <w:szCs w:val="24"/>
          <w:highlight w:val="none"/>
          <w:lang w:val="en-US" w:eastAsia="zh-CN"/>
        </w:rPr>
        <w:t xml:space="preserve">。</w:t>
      </w:r>
      <w:r/>
    </w:p>
    <w:p>
      <w:pPr>
        <w:pStyle w:val="1162"/>
        <w:keepLines w:val="0"/>
        <w:keepNext w:val="0"/>
        <w:pageBreakBefore w:val="0"/>
        <w:spacing w:line="360" w:lineRule="auto"/>
        <w:rPr>
          <w:rFonts w:hint="default"/>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供应商成交后，在施工期间，成交供应商应无条件</w:t>
      </w:r>
      <w:r>
        <w:rPr>
          <w:rFonts w:hint="eastAsia" w:ascii="宋体" w:hAnsi="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遵守施工现场的各项规章制度。</w:t>
      </w:r>
      <w:r/>
    </w:p>
    <w:p>
      <w:pPr>
        <w:pStyle w:val="116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渣土外运、材料运输、机械设备进退场等工作中，出现与交通运输、城市管理有关的矛盾协调费由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在投标报价时自行考虑。渣土在场内或场外放置期间，以及外运弃置与当地乡镇及居民等发生的争议或矛盾，由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pStyle w:val="116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000000"/>
          <w:sz w:val="24"/>
          <w:szCs w:val="24"/>
          <w:highlight w:val="none"/>
        </w:rPr>
        <w:t xml:space="preserve">成交供应商应对施工质量、安全全面负责，如因供应商原因造成质量、安全事故、供应商承担一切经济法律责任。</w:t>
      </w:r>
      <w:r/>
    </w:p>
    <w:p>
      <w:pPr>
        <w:pStyle w:val="943"/>
        <w:ind w:left="0" w:right="0" w:firstLine="420"/>
        <w:jc w:val="both"/>
        <w:keepLines w:val="0"/>
        <w:keepNext w:val="0"/>
        <w:pageBreakBefore w:val="0"/>
        <w:spacing w:before="0" w:beforeAutospacing="0" w:after="0" w:afterAutospacing="0" w:line="360" w:lineRule="auto"/>
        <w:widowControl w:val="off"/>
        <w:tabs>
          <w:tab w:val="left" w:pos="901" w:leader="none"/>
        </w:tabs>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施工期间，供应商应无条件的接受采购人的质量监督，提出的质量问题要及时整改，整改完毕后通知采购人检查验收，合格后书面报送采购人备案。</w:t>
      </w:r>
      <w:r/>
    </w:p>
    <w:p>
      <w:pPr>
        <w:pStyle w:val="943"/>
        <w:ind w:left="0" w:firstLine="420"/>
        <w:jc w:val="both"/>
        <w:keepLines w:val="0"/>
        <w:keepNext w:val="0"/>
        <w:pageBreakBefore w:val="0"/>
        <w:spacing w:before="0" w:beforeAutospacing="0" w:after="0" w:afterAutospacing="0" w:line="360" w:lineRule="auto"/>
        <w:widowControl w:val="off"/>
        <w:tabs>
          <w:tab w:val="left" w:pos="901" w:leader="none"/>
        </w:tabs>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成交供应商必须按照工程设计和技术标准施工，不得擅自修改工程设计，不得偷工减料。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自行勘察现场，应充分了解本工程的施工现场条件及本工程的施工难度，对施工现场</w:t>
      </w:r>
      <w:r>
        <w:rPr>
          <w:rFonts w:hint="eastAsia" w:ascii="宋体" w:hAnsi="宋体" w:cs="宋体"/>
          <w:color w:val="auto"/>
          <w:sz w:val="24"/>
          <w:szCs w:val="24"/>
          <w:highlight w:val="none"/>
          <w:lang w:eastAsia="zh-CN"/>
        </w:rPr>
        <w:t xml:space="preserve">邻近</w:t>
      </w:r>
      <w:r>
        <w:rPr>
          <w:rFonts w:hint="eastAsia" w:ascii="宋体" w:hAnsi="宋体" w:eastAsia="宋体" w:cs="宋体"/>
          <w:color w:val="auto"/>
          <w:sz w:val="24"/>
          <w:szCs w:val="24"/>
          <w:highlight w:val="none"/>
        </w:rPr>
        <w:t xml:space="preserve">建筑物，地下管线构筑物、高压线、树木等保护义务，充分考虑可能</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的所有措施费用，结合自身情况自主报价，结算时不作调整。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应自行处理好材料供应、设备供应、土方施工、挖掘机等矛盾，如引起施工中断，中断期间不计取任何费用，该风险由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须加强对场地周边城市、公建配套管网的保护，如发生破坏，由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负责赔偿，并承担全部责任。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自行解决施工中与周围居民、行人、单位的矛盾，产生的任何费用由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施工过程中不得污染损坏周边环境（不需要维修的绿化等），不得对周边环境造成影响，否则一切责任由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承担，由此造成的一切损失由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搭建的临时设施和材料堆场必须服从建设单位和监理单位的统一管理。如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不服从，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有权根据项目管理规定对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进行处罚。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临时设施的搭建，应满足文明施工要求，</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必须根据发包人的要求在发包人规定的时间内拆除临时设施等，并将其垃圾运离施工现场，所发生的费用由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承担，清理完成后</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须报监理、发包人验收确认；若发包人安排人员完成上述工作，所发生的费用将双倍从工程款中扣除。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须做好供电点、供水点的安装、维护、拆除；施工用水、用电费用由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按月向相关部门自行缴纳，如发生滞纳金费用由</w:t>
      </w:r>
      <w:r>
        <w:rPr>
          <w:rFonts w:hint="eastAsia" w:ascii="宋体" w:hAnsi="宋体" w:eastAsia="宋体" w:cs="宋体"/>
          <w:color w:val="auto"/>
          <w:sz w:val="24"/>
          <w:szCs w:val="24"/>
          <w:highlight w:val="none"/>
          <w:lang w:eastAsia="zh-CN"/>
        </w:rPr>
        <w:t xml:space="preserve">成交供</w:t>
      </w:r>
      <w:r>
        <w:rPr>
          <w:rFonts w:hint="eastAsia" w:ascii="宋体" w:hAnsi="宋体" w:eastAsia="宋体" w:cs="宋体"/>
          <w:color w:val="auto"/>
          <w:sz w:val="24"/>
          <w:szCs w:val="24"/>
          <w:highlight w:val="none"/>
          <w:lang w:val="en-US" w:eastAsia="zh-CN"/>
        </w:rPr>
        <w:t xml:space="preserve">应商支付。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安全生产：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 施工现场内及周边须设置施工围栏，临时警示标牌标志、警示灯、夜间照明、夜间交通指示灯（夜间必须正常显示）以及施工现场内、外的临时交通安全设施等，产生的任何费用由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在投标报价时自行考虑。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 交通疏导措施、交通安全设施的设置方案须符合交警、城管部门的要求，施工车辆进出场地必须减速慢行，出入口必须有专人看护，确保出入口的交通安全。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要对整个工程的安全负全责，并承担因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必须成立项目安全管理小组，所有工程施工过程均必须有专职安全管理人员在施工现场，实施安全监督。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在国家规定的工程合理使用期限内，</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确保该项目工程的质量。因</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原因致使工程在合理使用期限内造成人身和财产损害的，承包人应承担损害赔偿责任。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材料质量检验要求：工程使用的所有材料、设备进场及见证取样，必须经建设单位、监理单位、设计单位认可，未经建设单位、监理单位、设计单位认可，</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不得擅自使用的，否则建设单位有权没收其履约保证金并终止合同，同时承包人须赔偿建设单位实际损失。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在施工过程中出现质量、安全事故的，扣除合同价款的 1%-5%。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结算方式：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firstLine="646"/>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keepLines w:val="0"/>
        <w:pageBreakBefore w:val="0"/>
        <w:spacing w:line="360" w:lineRule="auto"/>
        <w:rPr>
          <w:rFonts w:hint="eastAsia" w:ascii="宋体" w:hAnsi="宋体" w:eastAsia="宋体" w:cs="宋体"/>
          <w:b/>
          <w:bCs/>
          <w:color w:val="000000"/>
          <w:sz w:val="30"/>
          <w:szCs w:val="30"/>
          <w:highlight w:val="none"/>
        </w:rPr>
        <w:outlineLvl w:val="0"/>
      </w:pPr>
      <w:r>
        <w:rPr>
          <w:rFonts w:hint="eastAsia" w:ascii="宋体" w:hAnsi="宋体" w:eastAsia="宋体" w:cs="宋体"/>
          <w:b/>
          <w:bCs/>
          <w:color w:val="000000"/>
          <w:sz w:val="30"/>
          <w:szCs w:val="30"/>
          <w:highlight w:val="none"/>
        </w:rPr>
        <w:t xml:space="preserve">第五章 评标办法和评标标准</w:t>
      </w:r>
      <w:r/>
    </w:p>
    <w:p>
      <w:pPr>
        <w:ind w:firstLine="482"/>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一、评标办法：</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2.评标结果按评审后得分由高到低顺序排列。得分相同的，按最终报价由低到高顺序排列，得分且投标报价相同的，按照技术指标优劣顺序推荐成交候选人。</w:t>
      </w:r>
      <w:r/>
    </w:p>
    <w:p>
      <w:pPr>
        <w:ind w:firstLine="480"/>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3.评审时，对每个合格供应商的响应文件进行评分，对评委的评分进行统计汇总，按算术平均方法计算出每个供应商的评审得分。（计算结果四舍五入保留两位小数）</w:t>
      </w:r>
      <w:r/>
    </w:p>
    <w:p>
      <w:pPr>
        <w:ind w:firstLine="482"/>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二、评标步骤：</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专家审阅：磋商小组成员阅读磋商文件，审查供应商提供的有关响应文件。</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符合磋商文件要求的供应商将进行磋商、二次报价（最后报价）。</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专家打分：磋商小组成员按本评标办法的打分标准进行打分。</w:t>
      </w:r>
      <w:r/>
    </w:p>
    <w:p>
      <w:pPr>
        <w:numPr>
          <w:ilvl w:val="0"/>
          <w:numId w:val="0"/>
        </w:numPr>
        <w:ind w:firstLine="482"/>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评分标准：</w:t>
      </w:r>
      <w:r/>
    </w:p>
    <w:tbl>
      <w:tblPr>
        <w:tblStyle w:val="907"/>
        <w:tblW w:w="57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87"/>
        <w:gridCol w:w="1703"/>
        <w:gridCol w:w="6546"/>
        <w:gridCol w:w="844"/>
      </w:tblGrid>
      <w:tr>
        <w:trPr>
          <w:jc w:val="center"/>
          <w:trHeight w:val="345"/>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序号</w:t>
            </w:r>
            <w:r/>
          </w:p>
        </w:tc>
        <w:tc>
          <w:tcPr>
            <w:tcMar>
              <w:left w:w="15" w:type="dxa"/>
              <w:top w:w="15" w:type="dxa"/>
              <w:right w:w="15" w:type="dxa"/>
              <w:bottom w:w="0" w:type="dxa"/>
            </w:tcMar>
            <w:tcW w:w="1703"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评审因素</w:t>
            </w:r>
            <w:r/>
          </w:p>
        </w:tc>
        <w:tc>
          <w:tcPr>
            <w:tcMar>
              <w:left w:w="15" w:type="dxa"/>
              <w:top w:w="15" w:type="dxa"/>
              <w:right w:w="15" w:type="dxa"/>
              <w:bottom w:w="0" w:type="dxa"/>
            </w:tcMar>
            <w:tcW w:w="6546"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评分标准说明</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分值</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一</w:t>
            </w:r>
            <w:r/>
          </w:p>
        </w:tc>
        <w:tc>
          <w:tcPr>
            <w:gridSpan w:val="2"/>
            <w:tcMar>
              <w:left w:w="15" w:type="dxa"/>
              <w:top w:w="15" w:type="dxa"/>
              <w:right w:w="15" w:type="dxa"/>
              <w:bottom w:w="0" w:type="dxa"/>
            </w:tcMar>
            <w:tcW w:w="8249"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Cs w:val="21"/>
                <w:highlight w:val="none"/>
                <w:lang w:eastAsia="zh-CN"/>
              </w:rPr>
              <w:t xml:space="preserve">响应报价</w:t>
            </w:r>
            <w:r>
              <w:rPr>
                <w:rFonts w:hint="eastAsia" w:ascii="宋体" w:hAnsi="宋体" w:eastAsia="宋体" w:cs="宋体"/>
                <w:b/>
                <w:color w:val="000000"/>
                <w:szCs w:val="21"/>
                <w:highlight w:val="none"/>
              </w:rPr>
              <w:t xml:space="preserve">部分</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30</w:t>
            </w:r>
            <w:r/>
          </w:p>
        </w:tc>
      </w:tr>
      <w:tr>
        <w:trPr>
          <w:jc w:val="center"/>
          <w:trHeight w:val="1393"/>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703"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响应报价</w:t>
            </w:r>
            <w:r/>
          </w:p>
        </w:tc>
        <w:tc>
          <w:tcPr>
            <w:tcMar>
              <w:left w:w="15" w:type="dxa"/>
              <w:top w:w="15" w:type="dxa"/>
              <w:right w:w="15" w:type="dxa"/>
              <w:bottom w:w="0" w:type="dxa"/>
            </w:tcMar>
            <w:tcW w:w="6546" w:type="dxa"/>
            <w:vAlign w:val="center"/>
            <w:textDirection w:val="lrTb"/>
            <w:noWrap w:val="false"/>
          </w:tcPr>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按满足竞争性磋商文件要求且最终有效投标价格最低的</w:t>
            </w:r>
            <w:r>
              <w:rPr>
                <w:rFonts w:hint="eastAsia" w:ascii="宋体" w:hAnsi="宋体" w:eastAsia="宋体" w:cs="宋体"/>
                <w:color w:val="000000"/>
                <w:szCs w:val="21"/>
                <w:highlight w:val="none"/>
                <w:lang w:eastAsia="zh-CN"/>
              </w:rPr>
              <w:t xml:space="preserve">报价</w:t>
            </w:r>
            <w:r>
              <w:rPr>
                <w:rFonts w:hint="eastAsia" w:ascii="宋体" w:hAnsi="宋体" w:eastAsia="宋体" w:cs="宋体"/>
                <w:color w:val="000000"/>
                <w:szCs w:val="21"/>
                <w:highlight w:val="none"/>
              </w:rPr>
              <w:t xml:space="preserve">作为评审基准价，其价格分为满分；其他供应商的价格分按以下公式计算：</w:t>
            </w:r>
            <w:r>
              <w:rPr>
                <w:rFonts w:hint="eastAsia" w:ascii="宋体" w:hAnsi="宋体" w:eastAsia="宋体" w:cs="宋体"/>
                <w:color w:val="000000"/>
                <w:szCs w:val="21"/>
                <w:highlight w:val="none"/>
                <w:lang w:eastAsia="zh-CN"/>
              </w:rPr>
              <w:t xml:space="preserve">报价</w:t>
            </w:r>
            <w:r>
              <w:rPr>
                <w:rFonts w:hint="eastAsia" w:ascii="宋体" w:hAnsi="宋体" w:eastAsia="宋体" w:cs="宋体"/>
                <w:color w:val="000000"/>
                <w:szCs w:val="21"/>
                <w:highlight w:val="none"/>
              </w:rPr>
              <w:t xml:space="preserve">得分＝（评审基准价/最终</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报价）×30</w:t>
            </w:r>
            <w:r>
              <w:rPr>
                <w:rFonts w:ascii="宋体" w:hAnsi="宋体" w:eastAsia="宋体" w:cs="宋体"/>
                <w:color w:val="000000"/>
                <w:szCs w:val="21"/>
                <w:highlight w:val="none"/>
              </w:rPr>
              <w:t xml:space="preserve">（分值保留两位小数）。</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30</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w:t>
            </w:r>
            <w:r/>
          </w:p>
        </w:tc>
        <w:tc>
          <w:tcPr>
            <w:gridSpan w:val="2"/>
            <w:tcMar>
              <w:left w:w="15" w:type="dxa"/>
              <w:top w:w="15" w:type="dxa"/>
              <w:right w:w="15" w:type="dxa"/>
              <w:bottom w:w="0" w:type="dxa"/>
            </w:tcMar>
            <w:tcW w:w="8249"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商务部分</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default" w:ascii="宋体" w:hAnsi="宋体" w:eastAsia="宋体" w:cs="宋体"/>
                <w:b/>
                <w:color w:val="000000"/>
                <w:sz w:val="24"/>
                <w:szCs w:val="22"/>
                <w:highlight w:val="none"/>
                <w:lang w:val="en-US" w:eastAsia="zh-CN"/>
              </w:rPr>
            </w:pPr>
            <w:r>
              <w:rPr>
                <w:rFonts w:hint="eastAsia" w:ascii="宋体" w:hAnsi="宋体" w:cs="宋体"/>
                <w:b/>
                <w:color w:val="000000"/>
                <w:sz w:val="24"/>
                <w:szCs w:val="22"/>
                <w:highlight w:val="none"/>
                <w:lang w:val="en-US" w:eastAsia="zh-CN"/>
              </w:rPr>
              <w:t xml:space="preserve">15</w:t>
            </w:r>
            <w:r/>
          </w:p>
        </w:tc>
      </w:tr>
      <w:tr>
        <w:trPr>
          <w:jc w:val="center"/>
          <w:trHeight w:val="259"/>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703" w:type="dxa"/>
            <w:vAlign w:val="center"/>
            <w:textDirection w:val="lrTb"/>
            <w:noWrap w:val="false"/>
          </w:tcPr>
          <w:p>
            <w:pPr>
              <w:jc w:val="center"/>
              <w:spacing w:before="100" w:line="360" w:lineRule="auto"/>
              <w:rPr>
                <w:rFonts w:hint="eastAsia"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业绩</w:t>
            </w:r>
            <w:r/>
          </w:p>
        </w:tc>
        <w:tc>
          <w:tcPr>
            <w:tcMar>
              <w:left w:w="15" w:type="dxa"/>
              <w:top w:w="15" w:type="dxa"/>
              <w:right w:w="15" w:type="dxa"/>
              <w:bottom w:w="0" w:type="dxa"/>
            </w:tcMar>
            <w:tcW w:w="6546" w:type="dxa"/>
            <w:vAlign w:val="center"/>
            <w:textDirection w:val="lrTb"/>
            <w:noWrap w:val="false"/>
          </w:tcPr>
          <w:p>
            <w:pPr>
              <w:ind w:firstLine="420"/>
              <w:spacing w:before="48" w:after="48"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供应商自2022</w:t>
            </w:r>
            <w:r>
              <w:rPr>
                <w:rFonts w:hint="eastAsia" w:ascii="宋体" w:hAnsi="宋体" w:cs="Times New Roman"/>
                <w:color w:val="000000"/>
                <w:szCs w:val="21"/>
                <w:highlight w:val="none"/>
              </w:rPr>
              <w:t xml:space="preserve">年1月1日</w:t>
            </w:r>
            <w:r>
              <w:rPr>
                <w:rFonts w:hint="eastAsia" w:ascii="宋体" w:hAnsi="宋体" w:cs="Times New Roman"/>
                <w:color w:val="000000"/>
                <w:szCs w:val="21"/>
                <w:highlight w:val="none"/>
                <w:lang w:val="en-US" w:eastAsia="zh-CN"/>
              </w:rPr>
              <w:t xml:space="preserve">(以竣工验收证明时间为准）</w:t>
            </w:r>
            <w:r>
              <w:rPr>
                <w:rFonts w:hint="eastAsia" w:ascii="宋体" w:hAnsi="宋体" w:cs="Times New Roman"/>
                <w:color w:val="000000"/>
                <w:szCs w:val="21"/>
                <w:highlight w:val="none"/>
              </w:rPr>
              <w:t xml:space="preserve">以</w:t>
            </w:r>
            <w:r>
              <w:rPr>
                <w:rFonts w:hint="eastAsia" w:ascii="宋体" w:hAnsi="宋体"/>
                <w:color w:val="000000"/>
                <w:szCs w:val="21"/>
                <w:highlight w:val="none"/>
              </w:rPr>
              <w:t xml:space="preserve">来供应商承担过</w:t>
            </w:r>
            <w:r>
              <w:rPr>
                <w:rFonts w:hint="eastAsia" w:ascii="宋体" w:hAnsi="宋体"/>
                <w:color w:val="000000"/>
                <w:szCs w:val="21"/>
                <w:highlight w:val="none"/>
                <w:lang w:val="en-US" w:eastAsia="zh-CN"/>
              </w:rPr>
              <w:t xml:space="preserve">房屋建筑或市政道路</w:t>
            </w:r>
            <w:r>
              <w:rPr>
                <w:rFonts w:hint="eastAsia" w:ascii="宋体" w:hAnsi="宋体"/>
                <w:color w:val="auto"/>
                <w:szCs w:val="21"/>
                <w:highlight w:val="none"/>
                <w:lang w:val="en-US" w:eastAsia="zh-CN"/>
              </w:rPr>
              <w:t xml:space="preserve">工程</w:t>
            </w:r>
            <w:r>
              <w:rPr>
                <w:rFonts w:hint="eastAsia" w:ascii="宋体" w:hAnsi="宋体"/>
                <w:color w:val="auto"/>
                <w:szCs w:val="21"/>
                <w:highlight w:val="none"/>
              </w:rPr>
              <w:t xml:space="preserve">业绩</w:t>
            </w:r>
            <w:r>
              <w:rPr>
                <w:rFonts w:hint="eastAsia" w:ascii="宋体" w:hAnsi="宋体"/>
                <w:color w:val="auto"/>
                <w:szCs w:val="21"/>
                <w:highlight w:val="none"/>
                <w:lang w:eastAsia="zh-CN"/>
              </w:rPr>
              <w:t xml:space="preserve">的</w:t>
            </w:r>
            <w:r>
              <w:rPr>
                <w:rFonts w:hint="eastAsia" w:ascii="宋体" w:hAnsi="宋体"/>
                <w:color w:val="000000"/>
                <w:szCs w:val="21"/>
                <w:highlight w:val="none"/>
              </w:rPr>
              <w:t xml:space="preserve">，有一个得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分；本项累计最多得</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分。</w:t>
            </w:r>
            <w:r/>
          </w:p>
          <w:p>
            <w:pPr>
              <w:pStyle w:val="948"/>
              <w:spacing w:before="0"/>
              <w:rPr>
                <w:rFonts w:eastAsia="宋体" w:cs="Times New Roman"/>
                <w:color w:val="000000"/>
                <w:szCs w:val="22"/>
                <w:highlight w:val="none"/>
              </w:rPr>
            </w:pPr>
            <w:r>
              <w:rPr>
                <w:rFonts w:hint="eastAsia" w:ascii="宋体" w:hAnsi="宋体"/>
                <w:color w:val="000000"/>
                <w:szCs w:val="21"/>
                <w:highlight w:val="none"/>
              </w:rPr>
              <w:t xml:space="preserve">备注：</w:t>
            </w:r>
            <w:r>
              <w:rPr>
                <w:rFonts w:hint="eastAsia" w:ascii="宋体" w:hAnsi="宋体" w:cs="Times New Roman"/>
                <w:color w:val="000000"/>
                <w:szCs w:val="21"/>
                <w:highlight w:val="none"/>
                <w:lang w:val="en-US" w:eastAsia="zh-CN"/>
              </w:rPr>
              <w:t xml:space="preserve">须同时提供中标</w:t>
            </w:r>
            <w:r>
              <w:rPr>
                <w:rFonts w:hint="eastAsia" w:cs="Times New Roman"/>
                <w:color w:val="000000"/>
                <w:szCs w:val="21"/>
                <w:highlight w:val="none"/>
                <w:lang w:val="en-US" w:eastAsia="zh-CN"/>
              </w:rPr>
              <w:t xml:space="preserve">（成交）</w:t>
            </w:r>
            <w:r>
              <w:rPr>
                <w:rFonts w:hint="eastAsia" w:ascii="宋体" w:hAnsi="宋体" w:cs="Times New Roman"/>
                <w:color w:val="000000"/>
                <w:szCs w:val="21"/>
                <w:highlight w:val="none"/>
                <w:lang w:val="en-US" w:eastAsia="zh-CN"/>
              </w:rPr>
              <w:t xml:space="preserve">通知书、施工</w:t>
            </w:r>
            <w:r>
              <w:rPr>
                <w:rFonts w:hint="eastAsia" w:ascii="宋体" w:hAnsi="宋体" w:cs="Times New Roman"/>
                <w:color w:val="000000"/>
                <w:szCs w:val="21"/>
                <w:highlight w:val="none"/>
              </w:rPr>
              <w:t xml:space="preserve">合同</w:t>
            </w:r>
            <w:r>
              <w:rPr>
                <w:rFonts w:hint="eastAsia" w:ascii="宋体" w:hAnsi="宋体" w:cs="Times New Roman"/>
                <w:color w:val="000000"/>
                <w:szCs w:val="21"/>
                <w:highlight w:val="none"/>
                <w:lang w:val="en-US" w:eastAsia="zh-CN"/>
              </w:rPr>
              <w:t xml:space="preserve">和竣工验收证明，以上资料为原件扫描件</w:t>
            </w:r>
            <w:r>
              <w:rPr>
                <w:rFonts w:hint="eastAsia" w:cs="Times New Roman"/>
                <w:color w:val="000000"/>
                <w:szCs w:val="21"/>
                <w:highlight w:val="none"/>
                <w:lang w:val="en-US" w:eastAsia="zh-CN"/>
              </w:rPr>
              <w:t xml:space="preserve">并</w:t>
            </w:r>
            <w:r>
              <w:rPr>
                <w:rFonts w:hint="eastAsia" w:ascii="宋体" w:hAnsi="宋体" w:cs="Times New Roman"/>
                <w:color w:val="000000"/>
                <w:szCs w:val="21"/>
                <w:highlight w:val="none"/>
                <w:lang w:val="en-US" w:eastAsia="zh-CN"/>
              </w:rPr>
              <w:t xml:space="preserve">加盖公章，缺一不可，否则不得分</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bottom w:w="0" w:type="dxa"/>
            </w:tcMar>
            <w:tcW w:w="844" w:type="dxa"/>
            <w:vAlign w:val="center"/>
            <w:textDirection w:val="lrTb"/>
            <w:noWrap w:val="false"/>
          </w:tcPr>
          <w:p>
            <w:pPr>
              <w:jc w:val="center"/>
              <w:spacing w:line="360" w:lineRule="auto"/>
              <w:rPr>
                <w:rFonts w:ascii="宋体" w:hAnsi="宋体" w:eastAsia="宋体" w:cs="宋体"/>
                <w:color w:val="000000"/>
                <w:sz w:val="24"/>
                <w:szCs w:val="22"/>
                <w:highlight w:val="none"/>
                <w:lang w:val="en-US" w:eastAsia="zh-CN"/>
              </w:rPr>
            </w:pPr>
            <w:r>
              <w:rPr>
                <w:rFonts w:hint="eastAsia" w:ascii="宋体" w:hAnsi="宋体" w:cs="宋体"/>
                <w:color w:val="000000"/>
                <w:sz w:val="24"/>
                <w:szCs w:val="22"/>
                <w:highlight w:val="none"/>
                <w:lang w:val="en-US" w:eastAsia="zh-CN"/>
              </w:rPr>
              <w:t xml:space="preserve">9</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Mar>
              <w:left w:w="15" w:type="dxa"/>
              <w:top w:w="15" w:type="dxa"/>
              <w:right w:w="15" w:type="dxa"/>
              <w:bottom w:w="0" w:type="dxa"/>
            </w:tcMar>
            <w:tcW w:w="1703" w:type="dxa"/>
            <w:vAlign w:val="center"/>
            <w:textDirection w:val="lrTb"/>
            <w:noWrap w:val="false"/>
          </w:tcPr>
          <w:p>
            <w:pPr>
              <w:jc w:val="center"/>
              <w:spacing w:line="360" w:lineRule="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项目管理机构</w:t>
            </w:r>
            <w:r/>
          </w:p>
        </w:tc>
        <w:tc>
          <w:tcPr>
            <w:tcMar>
              <w:left w:w="15" w:type="dxa"/>
              <w:top w:w="15" w:type="dxa"/>
              <w:right w:w="15" w:type="dxa"/>
              <w:bottom w:w="0" w:type="dxa"/>
            </w:tcMar>
            <w:tcW w:w="6546" w:type="dxa"/>
            <w:vAlign w:val="center"/>
            <w:textDirection w:val="lrTb"/>
            <w:noWrap w:val="false"/>
          </w:tcPr>
          <w:p>
            <w:pPr>
              <w:ind w:firstLine="420"/>
              <w:spacing w:before="48" w:after="48" w:line="360" w:lineRule="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eastAsia="zh-CN"/>
              </w:rPr>
              <w:t xml:space="preserve">1.</w:t>
            </w:r>
            <w:r>
              <w:rPr>
                <w:rFonts w:hint="eastAsia" w:ascii="宋体" w:hAnsi="宋体" w:eastAsia="宋体" w:cs="Times New Roman"/>
                <w:color w:val="000000"/>
                <w:szCs w:val="21"/>
                <w:highlight w:val="none"/>
              </w:rPr>
              <w:t xml:space="preserve">拟派项目负责人具备工程类中级及以上职称的得2分。</w:t>
            </w:r>
            <w:r/>
          </w:p>
          <w:p>
            <w:pPr>
              <w:ind w:firstLine="420"/>
              <w:spacing w:before="48" w:after="48" w:line="360" w:lineRule="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拟派技术负责人具备工程类中级及以上职称的得</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分。</w:t>
            </w:r>
            <w:r/>
          </w:p>
          <w:p>
            <w:pPr>
              <w:ind w:firstLine="420"/>
              <w:spacing w:before="48" w:after="48" w:line="360" w:lineRule="auto"/>
              <w:widowControl/>
              <w:rPr>
                <w:rFonts w:hint="default"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3.除项目负责人、技术负责人外，配备的其他人员中</w:t>
            </w:r>
            <w:r>
              <w:rPr>
                <w:rFonts w:hint="eastAsia" w:ascii="宋体" w:hAnsi="宋体" w:eastAsia="宋体" w:cs="Times New Roman"/>
                <w:color w:val="000000"/>
                <w:szCs w:val="21"/>
                <w:highlight w:val="none"/>
              </w:rPr>
              <w:t xml:space="preserve">具备工程类中级</w:t>
            </w:r>
            <w:r>
              <w:rPr>
                <w:rFonts w:hint="eastAsia" w:ascii="宋体" w:hAnsi="宋体" w:eastAsia="宋体" w:cs="Times New Roman"/>
                <w:color w:val="000000"/>
                <w:szCs w:val="21"/>
                <w:highlight w:val="none"/>
                <w:lang w:val="en-US" w:eastAsia="zh-CN"/>
              </w:rPr>
              <w:t xml:space="preserve">及以上</w:t>
            </w:r>
            <w:r>
              <w:rPr>
                <w:rFonts w:hint="eastAsia" w:ascii="宋体" w:hAnsi="宋体" w:eastAsia="宋体" w:cs="Times New Roman"/>
                <w:color w:val="000000"/>
                <w:szCs w:val="21"/>
                <w:highlight w:val="none"/>
              </w:rPr>
              <w:t xml:space="preserve">职称</w:t>
            </w:r>
            <w:r>
              <w:rPr>
                <w:rFonts w:hint="eastAsia" w:ascii="宋体" w:hAnsi="宋体" w:eastAsia="宋体" w:cs="Times New Roman"/>
                <w:color w:val="000000"/>
                <w:szCs w:val="21"/>
                <w:highlight w:val="none"/>
                <w:lang w:eastAsia="zh-CN"/>
              </w:rPr>
              <w:t xml:space="preserve">的</w:t>
            </w:r>
            <w:r>
              <w:rPr>
                <w:rFonts w:hint="eastAsia" w:ascii="宋体" w:hAnsi="宋体" w:eastAsia="宋体" w:cs="Times New Roman"/>
                <w:color w:val="000000"/>
                <w:szCs w:val="21"/>
                <w:highlight w:val="none"/>
              </w:rPr>
              <w:t xml:space="preserve">得</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分</w:t>
            </w:r>
            <w:r>
              <w:rPr>
                <w:rFonts w:hint="eastAsia" w:ascii="宋体" w:hAnsi="宋体" w:eastAsia="宋体" w:cs="Times New Roman"/>
                <w:color w:val="000000"/>
                <w:szCs w:val="21"/>
                <w:highlight w:val="none"/>
                <w:lang w:eastAsia="zh-CN"/>
              </w:rPr>
              <w:t xml:space="preserve">。</w:t>
            </w:r>
            <w:r/>
          </w:p>
          <w:p>
            <w:pPr>
              <w:ind w:firstLine="420"/>
              <w:spacing w:before="48" w:after="48" w:line="360" w:lineRule="auto"/>
              <w:widowControl/>
              <w:rPr>
                <w:rFonts w:eastAsia="宋体" w:cs="Times New Roman"/>
                <w:color w:val="000000"/>
                <w:szCs w:val="22"/>
                <w:highlight w:val="none"/>
              </w:rPr>
            </w:pPr>
            <w:r>
              <w:rPr>
                <w:rFonts w:hint="eastAsia" w:ascii="宋体" w:hAnsi="宋体" w:eastAsia="宋体" w:cs="Times New Roman"/>
                <w:color w:val="000000"/>
                <w:szCs w:val="21"/>
                <w:highlight w:val="none"/>
                <w:lang w:eastAsia="zh-CN"/>
              </w:rPr>
              <w:t xml:space="preserve">注：</w:t>
            </w:r>
            <w:r>
              <w:rPr>
                <w:rFonts w:hint="eastAsia" w:ascii="宋体" w:hAnsi="宋体" w:eastAsia="宋体" w:cs="Times New Roman"/>
                <w:color w:val="000000"/>
                <w:szCs w:val="21"/>
                <w:highlight w:val="none"/>
              </w:rPr>
              <w:t xml:space="preserve">提供人员职称证书</w:t>
            </w:r>
            <w:r>
              <w:rPr>
                <w:rFonts w:hint="eastAsia" w:ascii="宋体" w:hAnsi="宋体" w:cs="Times New Roman"/>
                <w:color w:val="000000"/>
                <w:szCs w:val="21"/>
                <w:highlight w:val="none"/>
                <w:lang w:val="en-US" w:eastAsia="zh-CN"/>
              </w:rPr>
              <w:t xml:space="preserve">原件</w:t>
            </w:r>
            <w:r>
              <w:rPr>
                <w:rFonts w:hint="eastAsia" w:ascii="宋体" w:hAnsi="宋体" w:eastAsia="宋体" w:cs="Times New Roman"/>
                <w:color w:val="000000"/>
                <w:szCs w:val="21"/>
                <w:highlight w:val="none"/>
                <w:lang w:eastAsia="zh-CN"/>
              </w:rPr>
              <w:t xml:space="preserve">扫描件</w:t>
            </w:r>
            <w:r>
              <w:rPr>
                <w:rFonts w:hint="eastAsia" w:ascii="宋体" w:hAnsi="宋体" w:cs="Times New Roman"/>
                <w:color w:val="000000"/>
                <w:szCs w:val="21"/>
                <w:highlight w:val="none"/>
                <w:lang w:val="en-US" w:eastAsia="zh-CN"/>
              </w:rPr>
              <w:t xml:space="preserve">并加盖公章</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供应商为其缴纳的</w:t>
            </w:r>
            <w:r>
              <w:rPr>
                <w:rFonts w:hint="eastAsia" w:ascii="宋体" w:hAnsi="宋体" w:eastAsia="宋体" w:cs="Times New Roman"/>
                <w:color w:val="000000"/>
                <w:szCs w:val="21"/>
                <w:highlight w:val="none"/>
                <w:lang w:val="en-US" w:eastAsia="zh-CN"/>
              </w:rPr>
              <w:t xml:space="preserve">2025年9月-11月中任意一个月的</w:t>
            </w:r>
            <w:r>
              <w:rPr>
                <w:rFonts w:hint="eastAsia" w:ascii="宋体" w:hAnsi="宋体" w:eastAsia="宋体" w:cs="Times New Roman"/>
                <w:color w:val="000000"/>
                <w:szCs w:val="21"/>
                <w:highlight w:val="none"/>
              </w:rPr>
              <w:t xml:space="preserve">社保缴纳证明</w:t>
            </w:r>
            <w:r>
              <w:rPr>
                <w:rFonts w:hint="eastAsia" w:ascii="宋体" w:hAnsi="宋体" w:eastAsia="宋体" w:cs="Times New Roman"/>
                <w:color w:val="000000"/>
                <w:szCs w:val="21"/>
                <w:highlight w:val="none"/>
                <w:lang w:eastAsia="zh-CN"/>
              </w:rPr>
              <w:t xml:space="preserve">扫描件</w:t>
            </w:r>
            <w:r>
              <w:rPr>
                <w:rFonts w:hint="eastAsia" w:ascii="宋体" w:hAnsi="宋体" w:cs="Times New Roman"/>
                <w:color w:val="000000"/>
                <w:szCs w:val="21"/>
                <w:highlight w:val="none"/>
                <w:lang w:val="en-US" w:eastAsia="zh-CN"/>
              </w:rPr>
              <w:t xml:space="preserve">并加盖公章</w:t>
            </w:r>
            <w:r>
              <w:rPr>
                <w:rFonts w:hint="eastAsia" w:ascii="宋体" w:hAnsi="宋体" w:eastAsia="宋体" w:cs="Times New Roman"/>
                <w:color w:val="000000"/>
                <w:szCs w:val="21"/>
                <w:highlight w:val="none"/>
                <w:lang w:val="en-US" w:eastAsia="zh-CN"/>
              </w:rPr>
              <w:t xml:space="preserve">（若为退休人员（不超过65周岁），需提供退休证明及返聘证明材料</w:t>
            </w:r>
            <w:r>
              <w:rPr>
                <w:rFonts w:hint="eastAsia" w:ascii="宋体" w:hAnsi="宋体" w:cs="Times New Roman"/>
                <w:color w:val="000000"/>
                <w:szCs w:val="21"/>
                <w:highlight w:val="none"/>
                <w:lang w:val="en-US" w:eastAsia="zh-CN"/>
              </w:rPr>
              <w:t xml:space="preserve">原件扫描件并加盖公章</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未提供或提供不全的不得分。</w:t>
            </w:r>
            <w:r/>
          </w:p>
        </w:tc>
        <w:tc>
          <w:tcPr>
            <w:tcMar>
              <w:left w:w="15" w:type="dxa"/>
              <w:top w:w="15" w:type="dxa"/>
              <w:right w:w="15" w:type="dxa"/>
              <w:bottom w:w="0" w:type="dxa"/>
            </w:tcMar>
            <w:tcW w:w="844" w:type="dxa"/>
            <w:vAlign w:val="center"/>
            <w:textDirection w:val="lrTb"/>
            <w:noWrap w:val="false"/>
          </w:tcPr>
          <w:p>
            <w:pPr>
              <w:jc w:val="center"/>
              <w:spacing w:line="360" w:lineRule="auto"/>
              <w:rPr>
                <w:rFonts w:ascii="宋体" w:hAnsi="宋体" w:eastAsia="宋体" w:cs="宋体"/>
                <w:color w:val="000000"/>
                <w:sz w:val="24"/>
                <w:szCs w:val="22"/>
                <w:highlight w:val="none"/>
                <w:lang w:val="en-US" w:eastAsia="zh-CN"/>
              </w:rPr>
            </w:pPr>
            <w:r>
              <w:rPr>
                <w:rFonts w:hint="eastAsia" w:ascii="宋体" w:hAnsi="宋体" w:cs="宋体"/>
                <w:b w:val="0"/>
                <w:bCs/>
                <w:color w:val="000000"/>
                <w:sz w:val="24"/>
                <w:szCs w:val="20"/>
                <w:highlight w:val="none"/>
                <w:lang w:val="en-US" w:eastAsia="zh-CN"/>
              </w:rPr>
              <w:t xml:space="preserve">6</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w:t>
            </w:r>
            <w:r/>
          </w:p>
        </w:tc>
        <w:tc>
          <w:tcPr>
            <w:gridSpan w:val="2"/>
            <w:tcMar>
              <w:left w:w="15" w:type="dxa"/>
              <w:top w:w="15" w:type="dxa"/>
              <w:right w:w="15" w:type="dxa"/>
              <w:bottom w:w="0" w:type="dxa"/>
            </w:tcMar>
            <w:tcW w:w="8249" w:type="dxa"/>
            <w:vAlign w:val="center"/>
            <w:textDirection w:val="lrTb"/>
            <w:noWrap w:val="false"/>
          </w:tcPr>
          <w:p>
            <w:pPr>
              <w:jc w:val="center"/>
              <w:spacing w:line="360" w:lineRule="auto"/>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技术部分</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default" w:ascii="宋体" w:hAnsi="宋体" w:eastAsia="宋体" w:cs="宋体"/>
                <w:b/>
                <w:color w:val="000000"/>
                <w:sz w:val="24"/>
                <w:szCs w:val="20"/>
                <w:highlight w:val="none"/>
                <w:lang w:val="en-US" w:eastAsia="zh-CN"/>
              </w:rPr>
            </w:pPr>
            <w:r>
              <w:rPr>
                <w:rFonts w:hint="eastAsia" w:ascii="宋体" w:hAnsi="宋体" w:cs="宋体"/>
                <w:b/>
                <w:color w:val="000000"/>
                <w:sz w:val="24"/>
                <w:szCs w:val="20"/>
                <w:highlight w:val="none"/>
                <w:lang w:val="en-US" w:eastAsia="zh-CN"/>
              </w:rPr>
              <w:t xml:space="preserve">55</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703" w:type="dxa"/>
            <w:vAlign w:val="center"/>
            <w:textDirection w:val="lrTb"/>
            <w:noWrap w:val="false"/>
          </w:tcPr>
          <w:p>
            <w:pPr>
              <w:jc w:val="center"/>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工程概述、施工现场平面布置及临时设施、临时道路、施工部署及施工段划分及总体安排等</w:t>
            </w:r>
            <w:r/>
          </w:p>
        </w:tc>
        <w:tc>
          <w:tcPr>
            <w:tcMar>
              <w:left w:w="15" w:type="dxa"/>
              <w:top w:w="15" w:type="dxa"/>
              <w:right w:w="15" w:type="dxa"/>
              <w:bottom w:w="0" w:type="dxa"/>
            </w:tcMar>
            <w:tcW w:w="6546" w:type="dxa"/>
            <w:vAlign w:val="top"/>
            <w:textDirection w:val="lrTb"/>
            <w:noWrap w:val="false"/>
          </w:tcPr>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Cs w:val="21"/>
                <w:highlight w:val="none"/>
              </w:rPr>
              <w:t xml:space="preserve">概述科学、严密、合理，描述详细且具有针对性的得</w:t>
            </w:r>
            <w:r>
              <w:rPr>
                <w:rFonts w:hint="eastAsia" w:ascii="宋体" w:hAnsi="宋体" w:cs="宋体"/>
                <w:b w:val="0"/>
                <w:bCs w:val="0"/>
                <w:color w:val="000000"/>
                <w:szCs w:val="21"/>
                <w:highlight w:val="none"/>
                <w:lang w:val="en-US" w:eastAsia="zh-CN"/>
              </w:rPr>
              <w:t xml:space="preserve">11</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Cs w:val="21"/>
                <w:highlight w:val="none"/>
              </w:rPr>
              <w:t xml:space="preserve">概述较合理、严密、描述较为详细，不存在实施难度的得</w:t>
            </w:r>
            <w:r>
              <w:rPr>
                <w:rFonts w:hint="eastAsia" w:ascii="宋体" w:hAnsi="宋体" w:cs="宋体"/>
                <w:b w:val="0"/>
                <w:bCs w:val="0"/>
                <w:color w:val="000000"/>
                <w:szCs w:val="21"/>
                <w:highlight w:val="none"/>
                <w:lang w:val="en-US" w:eastAsia="zh-CN"/>
              </w:rPr>
              <w:t xml:space="preserve">8</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eastAsia="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(3)</w:t>
            </w:r>
            <w:r>
              <w:rPr>
                <w:rFonts w:hint="eastAsia" w:ascii="宋体" w:hAnsi="宋体" w:cs="宋体"/>
                <w:b w:val="0"/>
                <w:bCs w:val="0"/>
                <w:color w:val="000000"/>
                <w:szCs w:val="21"/>
                <w:highlight w:val="none"/>
              </w:rPr>
              <w:t xml:space="preserve">概述基本合理</w:t>
            </w:r>
            <w:r>
              <w:rPr>
                <w:rFonts w:hint="eastAsia" w:ascii="宋体" w:hAnsi="宋体" w:eastAsia="宋体" w:cs="宋体"/>
                <w:b w:val="0"/>
                <w:bCs w:val="0"/>
                <w:color w:val="000000"/>
                <w:szCs w:val="21"/>
                <w:highlight w:val="none"/>
              </w:rPr>
              <w:t xml:space="preserve">、描述一般、存在可操作性的</w:t>
            </w:r>
            <w:r>
              <w:rPr>
                <w:rFonts w:hint="eastAsia" w:ascii="宋体" w:hAnsi="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eastAsia="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Cs w:val="21"/>
                <w:highlight w:val="none"/>
              </w:rPr>
              <w:t xml:space="preserve">概述具有不合理项、描述略欠缺、存在一定的实施难度的得</w:t>
            </w:r>
            <w:r>
              <w:rPr>
                <w:rFonts w:hint="eastAsia" w:ascii="宋体" w:hAnsi="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w:t>
            </w:r>
            <w:r/>
          </w:p>
          <w:p>
            <w:pPr>
              <w:numPr>
                <w:ilvl w:val="0"/>
                <w:numId w:val="0"/>
              </w:numPr>
              <w:ind w:left="425" w:hanging="425"/>
              <w:jc w:val="left"/>
              <w:spacing w:line="360" w:lineRule="auto"/>
              <w:rPr>
                <w:rFonts w:ascii="Calibri" w:hAnsi="Calibri" w:eastAsia="宋体" w:cs="Times New Roman"/>
                <w:color w:val="000000"/>
                <w:sz w:val="21"/>
                <w:szCs w:val="22"/>
                <w:highlight w:val="none"/>
                <w:lang w:val="en-US" w:eastAsia="zh-CN" w:bidi="ar-SA"/>
              </w:rPr>
            </w:pPr>
            <w:r>
              <w:rPr>
                <w:rFonts w:ascii="宋体" w:hAnsi="宋体" w:eastAsia="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rPr>
              <w:t xml:space="preserve">未提供不得分。</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val="en-US" w:eastAsia="zh-CN"/>
              </w:rPr>
              <w:t xml:space="preserve">1</w:t>
            </w:r>
            <w:r>
              <w:rPr>
                <w:rFonts w:hint="eastAsia" w:ascii="宋体" w:hAnsi="宋体" w:cs="宋体"/>
                <w:color w:val="000000"/>
                <w:sz w:val="24"/>
                <w:szCs w:val="20"/>
                <w:highlight w:val="none"/>
                <w:lang w:val="en-US" w:eastAsia="zh-CN"/>
              </w:rPr>
              <w:t xml:space="preserve">1</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Mar>
              <w:left w:w="15" w:type="dxa"/>
              <w:top w:w="15" w:type="dxa"/>
              <w:right w:w="15" w:type="dxa"/>
              <w:bottom w:w="0" w:type="dxa"/>
            </w:tcMar>
            <w:tcW w:w="1703" w:type="dxa"/>
            <w:vAlign w:val="center"/>
            <w:textDirection w:val="lrTb"/>
            <w:noWrap w:val="false"/>
          </w:tcPr>
          <w:p>
            <w:pPr>
              <w:jc w:val="center"/>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关于本工程施工进度计划的描述，以及为完成该计划所定措施</w:t>
            </w:r>
            <w:r/>
          </w:p>
        </w:tc>
        <w:tc>
          <w:tcPr>
            <w:tcMar>
              <w:left w:w="15" w:type="dxa"/>
              <w:top w:w="15" w:type="dxa"/>
              <w:right w:w="15" w:type="dxa"/>
              <w:bottom w:w="0" w:type="dxa"/>
            </w:tcMar>
            <w:tcW w:w="6546" w:type="dxa"/>
            <w:vAlign w:val="top"/>
            <w:textDirection w:val="lrTb"/>
            <w:noWrap w:val="false"/>
          </w:tcPr>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Cs w:val="21"/>
                <w:highlight w:val="none"/>
              </w:rPr>
              <w:t xml:space="preserve">施工总进度计划科学、严密、合理，描述详细且具有针对性的得</w:t>
            </w:r>
            <w:r>
              <w:rPr>
                <w:rFonts w:hint="eastAsia" w:ascii="宋体" w:hAnsi="宋体" w:cs="宋体"/>
                <w:b w:val="0"/>
                <w:bCs w:val="0"/>
                <w:color w:val="000000"/>
                <w:szCs w:val="21"/>
                <w:highlight w:val="none"/>
                <w:lang w:val="en-US" w:eastAsia="zh-CN"/>
              </w:rPr>
              <w:t xml:space="preserve">11</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pacing w:val="-6"/>
                <w:szCs w:val="21"/>
                <w:highlight w:val="none"/>
              </w:rPr>
              <w:t xml:space="preserve">施工总进度计划较合理、严密、描述较为详细，不存在实施难度</w:t>
            </w:r>
            <w:r>
              <w:rPr>
                <w:rFonts w:hint="eastAsia" w:ascii="宋体" w:hAnsi="宋体" w:cs="宋体"/>
                <w:b w:val="0"/>
                <w:bCs w:val="0"/>
                <w:color w:val="000000"/>
                <w:szCs w:val="21"/>
                <w:highlight w:val="none"/>
              </w:rPr>
              <w:t xml:space="preserve">的得</w:t>
            </w:r>
            <w:r>
              <w:rPr>
                <w:rFonts w:hint="eastAsia" w:ascii="宋体" w:hAnsi="宋体" w:cs="宋体"/>
                <w:b w:val="0"/>
                <w:bCs w:val="0"/>
                <w:color w:val="000000"/>
                <w:szCs w:val="21"/>
                <w:highlight w:val="none"/>
                <w:lang w:val="en-US" w:eastAsia="zh-CN"/>
              </w:rPr>
              <w:t xml:space="preserve">8</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(3)</w:t>
            </w:r>
            <w:r>
              <w:rPr>
                <w:rFonts w:hint="eastAsia" w:ascii="宋体" w:hAnsi="宋体" w:cs="宋体"/>
                <w:b w:val="0"/>
                <w:bCs w:val="0"/>
                <w:color w:val="000000"/>
                <w:szCs w:val="21"/>
                <w:highlight w:val="none"/>
              </w:rPr>
              <w:t xml:space="preserve">施工总进度计划基本合理、描述一般、存在可操作性的得</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(4)</w:t>
            </w:r>
            <w:r>
              <w:rPr>
                <w:rFonts w:hint="eastAsia" w:ascii="宋体" w:hAnsi="宋体" w:cs="宋体"/>
                <w:b w:val="0"/>
                <w:bCs w:val="0"/>
                <w:color w:val="000000"/>
                <w:spacing w:val="-6"/>
                <w:szCs w:val="21"/>
                <w:highlight w:val="none"/>
              </w:rPr>
              <w:t xml:space="preserve">施工总进度计划具有不合理项、描述略欠缺、存在一定的实施难度</w:t>
            </w:r>
            <w:r>
              <w:rPr>
                <w:rFonts w:hint="eastAsia" w:ascii="宋体" w:hAnsi="宋体" w:cs="宋体"/>
                <w:b w:val="0"/>
                <w:bCs w:val="0"/>
                <w:color w:val="000000"/>
                <w:szCs w:val="21"/>
                <w:highlight w:val="none"/>
              </w:rPr>
              <w:t xml:space="preserve">的</w:t>
            </w:r>
            <w:r>
              <w:rPr>
                <w:rFonts w:hint="eastAsia" w:ascii="宋体" w:hAnsi="宋体" w:cs="宋体"/>
                <w:b w:val="0"/>
                <w:bCs w:val="0"/>
                <w:color w:val="000000"/>
                <w:szCs w:val="21"/>
                <w:highlight w:val="none"/>
                <w:lang w:val="en-US" w:eastAsia="zh-CN"/>
              </w:rPr>
              <w:t xml:space="preserve">2</w:t>
            </w:r>
            <w:r>
              <w:rPr>
                <w:rFonts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t xml:space="preserve">；</w:t>
            </w:r>
            <w:r/>
          </w:p>
          <w:p>
            <w:pPr>
              <w:numPr>
                <w:ilvl w:val="0"/>
                <w:numId w:val="0"/>
              </w:numPr>
              <w:ind w:left="425" w:hanging="425"/>
              <w:jc w:val="left"/>
              <w:spacing w:line="360" w:lineRule="auto"/>
              <w:rPr>
                <w:rFonts w:hint="eastAsia" w:ascii="宋体" w:hAnsi="宋体" w:eastAsia="宋体" w:cs="宋体"/>
                <w:color w:val="000000"/>
                <w:szCs w:val="21"/>
                <w:highlight w:val="none"/>
              </w:rPr>
            </w:pPr>
            <w:r>
              <w:rPr>
                <w:rFonts w:ascii="宋体" w:hAnsi="宋体" w:eastAsia="宋体" w:cs="宋体"/>
                <w:b w:val="0"/>
                <w:bCs w:val="0"/>
                <w:color w:val="000000"/>
                <w:sz w:val="21"/>
                <w:szCs w:val="21"/>
                <w:highlight w:val="none"/>
                <w:lang w:val="en-US" w:eastAsia="zh-CN" w:bidi="ar-SA"/>
              </w:rPr>
              <w:t xml:space="preserve">(5)</w:t>
            </w:r>
            <w:r>
              <w:rPr>
                <w:rFonts w:hint="eastAsia" w:ascii="宋体" w:hAnsi="宋体" w:cs="宋体"/>
                <w:b w:val="0"/>
                <w:bCs w:val="0"/>
                <w:color w:val="000000"/>
                <w:szCs w:val="21"/>
                <w:highlight w:val="none"/>
              </w:rPr>
              <w:t xml:space="preserve">未提供不得分。</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val="en-US" w:eastAsia="zh-CN"/>
              </w:rPr>
              <w:t xml:space="preserve">1</w:t>
            </w:r>
            <w:r>
              <w:rPr>
                <w:rFonts w:hint="eastAsia" w:ascii="宋体" w:hAnsi="宋体" w:cs="宋体"/>
                <w:color w:val="000000"/>
                <w:sz w:val="24"/>
                <w:szCs w:val="20"/>
                <w:highlight w:val="none"/>
                <w:lang w:val="en-US" w:eastAsia="zh-CN"/>
              </w:rPr>
              <w:t xml:space="preserve">1</w:t>
            </w:r>
            <w:r/>
          </w:p>
        </w:tc>
      </w:tr>
      <w:tr>
        <w:trPr>
          <w:jc w:val="center"/>
          <w:trHeight w:val="567"/>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Mar>
              <w:left w:w="15" w:type="dxa"/>
              <w:top w:w="15" w:type="dxa"/>
              <w:right w:w="15" w:type="dxa"/>
              <w:bottom w:w="0" w:type="dxa"/>
            </w:tcMar>
            <w:tcW w:w="1703" w:type="dxa"/>
            <w:vAlign w:val="center"/>
            <w:textDirection w:val="lrTb"/>
            <w:noWrap w:val="false"/>
          </w:tcPr>
          <w:p>
            <w:pPr>
              <w:jc w:val="center"/>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工程分部分项工程的施工方案、关键施工技术、工艺及工程项目实施的重点、难点和解决方案、具体施工技术措施</w:t>
            </w:r>
            <w:r/>
          </w:p>
        </w:tc>
        <w:tc>
          <w:tcPr>
            <w:tcMar>
              <w:left w:w="15" w:type="dxa"/>
              <w:top w:w="15" w:type="dxa"/>
              <w:right w:w="15" w:type="dxa"/>
              <w:bottom w:w="0" w:type="dxa"/>
            </w:tcMar>
            <w:tcW w:w="6546" w:type="dxa"/>
            <w:vAlign w:val="top"/>
            <w:textDirection w:val="lrTb"/>
            <w:noWrap w:val="false"/>
          </w:tcPr>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Cs w:val="21"/>
                <w:highlight w:val="none"/>
              </w:rPr>
              <w:t xml:space="preserve">施工方案科学、严密、合理，描述详细且具有针对性的得1</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Cs w:val="21"/>
                <w:highlight w:val="none"/>
              </w:rPr>
              <w:t xml:space="preserve">施工方案较合理、严密、描述较为详细，不存在实施难度的得</w:t>
            </w:r>
            <w:r>
              <w:rPr>
                <w:rFonts w:hint="eastAsia" w:ascii="宋体" w:hAnsi="宋体" w:cs="宋体"/>
                <w:b w:val="0"/>
                <w:bCs w:val="0"/>
                <w:color w:val="000000"/>
                <w:szCs w:val="21"/>
                <w:highlight w:val="none"/>
                <w:lang w:val="en-US" w:eastAsia="zh-CN"/>
              </w:rPr>
              <w:t xml:space="preserve">8</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(3)</w:t>
            </w:r>
            <w:r>
              <w:rPr>
                <w:rFonts w:hint="eastAsia" w:ascii="宋体" w:hAnsi="宋体" w:cs="宋体"/>
                <w:b w:val="0"/>
                <w:bCs w:val="0"/>
                <w:color w:val="000000"/>
                <w:szCs w:val="21"/>
                <w:highlight w:val="none"/>
              </w:rPr>
              <w:t xml:space="preserve">施工方案基本合理、描述一般、存在可操作性的得</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(4)</w:t>
            </w:r>
            <w:r>
              <w:rPr>
                <w:rFonts w:hint="eastAsia" w:ascii="宋体" w:hAnsi="宋体" w:cs="宋体"/>
                <w:b w:val="0"/>
                <w:bCs w:val="0"/>
                <w:color w:val="000000"/>
                <w:szCs w:val="21"/>
                <w:highlight w:val="none"/>
              </w:rPr>
              <w:t xml:space="preserve">施工方案具有不合理项、描述略欠缺、存在一定的实施难度的得</w:t>
            </w:r>
            <w:r>
              <w:rPr>
                <w:rFonts w:hint="eastAsia" w:ascii="宋体" w:hAnsi="宋体" w:cs="宋体"/>
                <w:b w:val="0"/>
                <w:bCs w:val="0"/>
                <w:color w:val="000000"/>
                <w:szCs w:val="21"/>
                <w:highlight w:val="none"/>
                <w:lang w:val="en-US" w:eastAsia="zh-CN"/>
              </w:rPr>
              <w:t xml:space="preserve">2</w:t>
            </w:r>
            <w:r>
              <w:rPr>
                <w:rFonts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t xml:space="preserve">；</w:t>
            </w:r>
            <w:r/>
          </w:p>
          <w:p>
            <w:pPr>
              <w:numPr>
                <w:ilvl w:val="0"/>
                <w:numId w:val="0"/>
              </w:numPr>
              <w:ind w:left="425" w:hanging="425"/>
              <w:jc w:val="left"/>
              <w:spacing w:line="360" w:lineRule="auto"/>
              <w:rPr>
                <w:rFonts w:hint="eastAsia" w:ascii="宋体" w:hAnsi="宋体" w:eastAsia="宋体" w:cs="宋体"/>
                <w:color w:val="000000"/>
                <w:szCs w:val="21"/>
                <w:highlight w:val="none"/>
              </w:rPr>
            </w:pPr>
            <w:r>
              <w:rPr>
                <w:rFonts w:ascii="宋体" w:hAnsi="宋体" w:eastAsia="宋体" w:cs="宋体"/>
                <w:b w:val="0"/>
                <w:bCs w:val="0"/>
                <w:color w:val="000000"/>
                <w:sz w:val="21"/>
                <w:szCs w:val="21"/>
                <w:highlight w:val="none"/>
                <w:lang w:val="en-US" w:eastAsia="zh-CN" w:bidi="ar-SA"/>
              </w:rPr>
              <w:t xml:space="preserve">(5)</w:t>
            </w:r>
            <w:r>
              <w:rPr>
                <w:rFonts w:hint="eastAsia" w:ascii="宋体" w:hAnsi="宋体" w:cs="宋体"/>
                <w:b w:val="0"/>
                <w:bCs w:val="0"/>
                <w:color w:val="000000"/>
                <w:szCs w:val="21"/>
                <w:highlight w:val="none"/>
              </w:rPr>
              <w:t xml:space="preserve">未提供不得分。</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val="en-US" w:eastAsia="zh-CN"/>
              </w:rPr>
              <w:t xml:space="preserve">1</w:t>
            </w:r>
            <w:r>
              <w:rPr>
                <w:rFonts w:hint="eastAsia" w:ascii="宋体" w:hAnsi="宋体" w:cs="宋体"/>
                <w:color w:val="000000"/>
                <w:sz w:val="24"/>
                <w:szCs w:val="20"/>
                <w:highlight w:val="none"/>
                <w:lang w:val="en-US" w:eastAsia="zh-CN"/>
              </w:rPr>
              <w:t xml:space="preserve">1</w:t>
            </w:r>
            <w:r/>
          </w:p>
        </w:tc>
      </w:tr>
      <w:tr>
        <w:trPr>
          <w:jc w:val="center"/>
          <w:trHeight w:val="401"/>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Mar>
              <w:left w:w="15" w:type="dxa"/>
              <w:top w:w="15" w:type="dxa"/>
              <w:right w:w="15" w:type="dxa"/>
              <w:bottom w:w="0" w:type="dxa"/>
            </w:tcMar>
            <w:tcW w:w="1703"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安全文明施工、施工现场扬尘污染防治措施及环境保护方面的措施</w:t>
            </w:r>
            <w:r/>
          </w:p>
        </w:tc>
        <w:tc>
          <w:tcPr>
            <w:tcMar>
              <w:left w:w="15" w:type="dxa"/>
              <w:top w:w="15" w:type="dxa"/>
              <w:right w:w="15" w:type="dxa"/>
              <w:bottom w:w="0" w:type="dxa"/>
            </w:tcMar>
            <w:tcW w:w="6546" w:type="dxa"/>
            <w:vAlign w:val="center"/>
            <w:textDirection w:val="lrTb"/>
            <w:noWrap w:val="false"/>
          </w:tcPr>
          <w:p>
            <w:pPr>
              <w:numPr>
                <w:ilvl w:val="0"/>
                <w:numId w:val="0"/>
              </w:numPr>
              <w:ind w:left="425" w:hanging="425"/>
              <w:jc w:val="left"/>
              <w:spacing w:line="360" w:lineRule="auto"/>
              <w:rPr>
                <w:rFonts w:hint="eastAsia" w:ascii="宋体" w:hAnsi="宋体" w:cs="宋体"/>
                <w:b w:val="0"/>
                <w:bCs w:val="0"/>
                <w:color w:val="000000"/>
                <w:spacing w:val="-6"/>
                <w:szCs w:val="21"/>
                <w:highlight w:val="none"/>
              </w:rPr>
            </w:pPr>
            <w:r>
              <w:rPr>
                <w:rFonts w:ascii="宋体" w:hAnsi="宋体" w:eastAsia="宋体" w:cs="宋体"/>
                <w:b w:val="0"/>
                <w:bCs w:val="0"/>
                <w:color w:val="000000"/>
                <w:spacing w:val="-6"/>
                <w:sz w:val="21"/>
                <w:szCs w:val="21"/>
                <w:highlight w:val="none"/>
                <w:lang w:val="en-US" w:eastAsia="zh-CN" w:bidi="ar-SA"/>
              </w:rPr>
              <w:t xml:space="preserve">(1)</w:t>
            </w:r>
            <w:r>
              <w:rPr>
                <w:rFonts w:hint="eastAsia" w:ascii="宋体" w:hAnsi="宋体" w:cs="宋体"/>
                <w:b w:val="0"/>
                <w:bCs w:val="0"/>
                <w:color w:val="000000"/>
                <w:spacing w:val="-6"/>
                <w:szCs w:val="21"/>
                <w:highlight w:val="none"/>
              </w:rPr>
              <w:t xml:space="preserve">安全文明施工措施科学、严密、合理，描述详细且具有针对性的</w:t>
            </w:r>
            <w:r>
              <w:rPr>
                <w:rFonts w:hint="eastAsia" w:ascii="宋体" w:hAnsi="宋体" w:cs="宋体"/>
                <w:b w:val="0"/>
                <w:bCs w:val="0"/>
                <w:color w:val="000000"/>
                <w:szCs w:val="21"/>
                <w:highlight w:val="none"/>
              </w:rPr>
              <w:t xml:space="preserve">1</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pacing w:val="-11"/>
                <w:szCs w:val="21"/>
                <w:highlight w:val="none"/>
              </w:rPr>
            </w:pPr>
            <w:r>
              <w:rPr>
                <w:rFonts w:ascii="宋体" w:hAnsi="宋体" w:eastAsia="宋体" w:cs="宋体"/>
                <w:b w:val="0"/>
                <w:bCs w:val="0"/>
                <w:color w:val="000000"/>
                <w:spacing w:val="-11"/>
                <w:sz w:val="21"/>
                <w:szCs w:val="21"/>
                <w:highlight w:val="none"/>
                <w:lang w:val="en-US" w:eastAsia="zh-CN" w:bidi="ar-SA"/>
              </w:rPr>
              <w:t xml:space="preserve">(2)</w:t>
            </w:r>
            <w:r>
              <w:rPr>
                <w:rFonts w:hint="eastAsia" w:ascii="宋体" w:hAnsi="宋体" w:cs="宋体"/>
                <w:b w:val="0"/>
                <w:bCs w:val="0"/>
                <w:color w:val="000000"/>
                <w:spacing w:val="-11"/>
                <w:szCs w:val="21"/>
                <w:highlight w:val="none"/>
              </w:rPr>
              <w:t xml:space="preserve">安全文明施工措施较合理、严密、描述较为详细，不存在实施难度的</w:t>
            </w:r>
            <w:r>
              <w:rPr>
                <w:rFonts w:hint="eastAsia" w:ascii="宋体" w:hAnsi="宋体" w:cs="宋体"/>
                <w:b w:val="0"/>
                <w:bCs w:val="0"/>
                <w:color w:val="000000"/>
                <w:szCs w:val="21"/>
                <w:highlight w:val="none"/>
                <w:lang w:val="en-US" w:eastAsia="zh-CN"/>
              </w:rPr>
              <w:t xml:space="preserve">8</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(3)</w:t>
            </w:r>
            <w:r>
              <w:rPr>
                <w:rFonts w:hint="eastAsia" w:ascii="宋体" w:hAnsi="宋体" w:cs="宋体"/>
                <w:b w:val="0"/>
                <w:bCs w:val="0"/>
                <w:color w:val="000000"/>
                <w:spacing w:val="-6"/>
                <w:szCs w:val="21"/>
                <w:highlight w:val="none"/>
              </w:rPr>
              <w:t xml:space="preserve">安全文明施工措施基本合理、描述一般、存在可操作性</w:t>
            </w:r>
            <w:r>
              <w:rPr>
                <w:rFonts w:hint="eastAsia" w:ascii="宋体" w:hAnsi="宋体" w:cs="宋体"/>
                <w:b w:val="0"/>
                <w:bCs w:val="0"/>
                <w:color w:val="000000"/>
                <w:szCs w:val="21"/>
                <w:highlight w:val="none"/>
              </w:rPr>
              <w:t xml:space="preserve">的得</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pacing w:val="-11"/>
                <w:szCs w:val="21"/>
                <w:highlight w:val="none"/>
              </w:rPr>
            </w:pPr>
            <w:r>
              <w:rPr>
                <w:rFonts w:ascii="宋体" w:hAnsi="宋体" w:eastAsia="宋体" w:cs="宋体"/>
                <w:b w:val="0"/>
                <w:bCs w:val="0"/>
                <w:color w:val="000000"/>
                <w:spacing w:val="-11"/>
                <w:sz w:val="21"/>
                <w:szCs w:val="21"/>
                <w:highlight w:val="none"/>
                <w:lang w:val="en-US" w:eastAsia="zh-CN" w:bidi="ar-SA"/>
              </w:rPr>
              <w:t xml:space="preserve">(4)</w:t>
            </w:r>
            <w:r>
              <w:rPr>
                <w:rFonts w:hint="eastAsia" w:ascii="宋体" w:hAnsi="宋体" w:cs="宋体"/>
                <w:b w:val="0"/>
                <w:bCs w:val="0"/>
                <w:color w:val="000000"/>
                <w:spacing w:val="-11"/>
                <w:szCs w:val="21"/>
                <w:highlight w:val="none"/>
              </w:rPr>
              <w:t xml:space="preserve">安全文明施工措施具有不合理项、描述略欠缺、存在一定的实施难度的得</w:t>
            </w:r>
            <w:r>
              <w:rPr>
                <w:rFonts w:hint="eastAsia" w:ascii="宋体" w:hAnsi="宋体" w:cs="宋体"/>
                <w:b w:val="0"/>
                <w:bCs w:val="0"/>
                <w:color w:val="000000"/>
                <w:spacing w:val="-11"/>
                <w:szCs w:val="21"/>
                <w:highlight w:val="none"/>
                <w:lang w:val="en-US" w:eastAsia="zh-CN"/>
              </w:rPr>
              <w:t xml:space="preserve">2</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eastAsia="宋体" w:cs="宋体"/>
                <w:color w:val="000000"/>
                <w:szCs w:val="21"/>
                <w:highlight w:val="none"/>
              </w:rPr>
            </w:pPr>
            <w:r>
              <w:rPr>
                <w:rFonts w:ascii="宋体" w:hAnsi="宋体" w:eastAsia="宋体" w:cs="宋体"/>
                <w:b w:val="0"/>
                <w:bCs w:val="0"/>
                <w:color w:val="000000"/>
                <w:sz w:val="21"/>
                <w:szCs w:val="21"/>
                <w:highlight w:val="none"/>
                <w:lang w:val="en-US" w:eastAsia="zh-CN" w:bidi="ar-SA"/>
              </w:rPr>
              <w:t xml:space="preserve">(5)</w:t>
            </w:r>
            <w:r>
              <w:rPr>
                <w:rFonts w:hint="eastAsia" w:ascii="宋体" w:hAnsi="宋体" w:cs="宋体"/>
                <w:b w:val="0"/>
                <w:bCs w:val="0"/>
                <w:color w:val="000000"/>
                <w:szCs w:val="21"/>
                <w:highlight w:val="none"/>
              </w:rPr>
              <w:t xml:space="preserve">未提供不得分。</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val="en-US" w:eastAsia="zh-CN"/>
              </w:rPr>
              <w:t xml:space="preserve">1</w:t>
            </w:r>
            <w:r>
              <w:rPr>
                <w:rFonts w:hint="eastAsia" w:ascii="宋体" w:hAnsi="宋体" w:cs="宋体"/>
                <w:color w:val="000000"/>
                <w:sz w:val="24"/>
                <w:szCs w:val="20"/>
                <w:highlight w:val="none"/>
                <w:lang w:val="en-US" w:eastAsia="zh-CN"/>
              </w:rPr>
              <w:t xml:space="preserve">1</w:t>
            </w:r>
            <w:r/>
          </w:p>
        </w:tc>
      </w:tr>
      <w:tr>
        <w:trPr>
          <w:jc w:val="center"/>
          <w:trHeight w:val="401"/>
        </w:trPr>
        <w:tc>
          <w:tcPr>
            <w:tcMar>
              <w:left w:w="15" w:type="dxa"/>
              <w:top w:w="15" w:type="dxa"/>
              <w:right w:w="15" w:type="dxa"/>
              <w:bottom w:w="0" w:type="dxa"/>
            </w:tcMar>
            <w:tcW w:w="48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Mar>
              <w:left w:w="15" w:type="dxa"/>
              <w:top w:w="15" w:type="dxa"/>
              <w:right w:w="15" w:type="dxa"/>
              <w:bottom w:w="0" w:type="dxa"/>
            </w:tcMar>
            <w:tcW w:w="1703"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保证项目实施的技术设备和人力资源安排</w:t>
            </w:r>
            <w:r/>
          </w:p>
        </w:tc>
        <w:tc>
          <w:tcPr>
            <w:tcMar>
              <w:left w:w="15" w:type="dxa"/>
              <w:top w:w="15" w:type="dxa"/>
              <w:right w:w="15" w:type="dxa"/>
              <w:bottom w:w="0" w:type="dxa"/>
            </w:tcMar>
            <w:tcW w:w="6546" w:type="dxa"/>
            <w:vAlign w:val="center"/>
            <w:textDirection w:val="lrTb"/>
            <w:noWrap w:val="false"/>
          </w:tcPr>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Cs w:val="21"/>
                <w:highlight w:val="none"/>
              </w:rPr>
              <w:t xml:space="preserve">投入项目的技术设备科学、严密、合理，管理制度完备、使用方案详细且具有针对性；技术人员配备合理、考虑周全的得1</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Cs w:val="21"/>
                <w:highlight w:val="none"/>
              </w:rPr>
              <w:t xml:space="preserve">投入项目的技术设备较严密、合理，管理制度较完备、使用方案较详细，不存在实施难度；技术人员配备较合理、考虑较周全的得</w:t>
            </w:r>
            <w:r>
              <w:rPr>
                <w:rFonts w:hint="eastAsia" w:ascii="宋体" w:hAnsi="宋体" w:cs="宋体"/>
                <w:b w:val="0"/>
                <w:bCs w:val="0"/>
                <w:color w:val="000000"/>
                <w:szCs w:val="21"/>
                <w:highlight w:val="none"/>
                <w:lang w:val="en-US" w:eastAsia="zh-CN"/>
              </w:rPr>
              <w:t xml:space="preserve">8</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(3)</w:t>
            </w:r>
            <w:r>
              <w:rPr>
                <w:rFonts w:hint="eastAsia" w:ascii="宋体" w:hAnsi="宋体" w:cs="宋体"/>
                <w:b w:val="0"/>
                <w:bCs w:val="0"/>
                <w:color w:val="000000"/>
                <w:szCs w:val="21"/>
                <w:highlight w:val="none"/>
              </w:rPr>
              <w:t xml:space="preserve">投入技术设备基本符合项目实际、管理制度一般、使用方案一般；技术人员配备一般、能满足项目实施需要的得</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cs="宋体"/>
                <w:b w:val="0"/>
                <w:bCs w:val="0"/>
                <w:color w:val="000000"/>
                <w:szCs w:val="21"/>
                <w:highlight w:val="none"/>
              </w:rPr>
            </w:pPr>
            <w:r>
              <w:rPr>
                <w:rFonts w:ascii="宋体" w:hAnsi="宋体" w:eastAsia="宋体" w:cs="宋体"/>
                <w:b w:val="0"/>
                <w:bCs w:val="0"/>
                <w:color w:val="000000"/>
                <w:sz w:val="21"/>
                <w:szCs w:val="21"/>
                <w:highlight w:val="none"/>
                <w:lang w:val="en-US" w:eastAsia="zh-CN" w:bidi="ar-SA"/>
              </w:rPr>
              <w:t xml:space="preserve">(4)</w:t>
            </w:r>
            <w:r>
              <w:rPr>
                <w:rFonts w:hint="eastAsia" w:ascii="宋体" w:hAnsi="宋体" w:cs="宋体"/>
                <w:b w:val="0"/>
                <w:bCs w:val="0"/>
                <w:color w:val="000000"/>
                <w:szCs w:val="21"/>
                <w:highlight w:val="none"/>
              </w:rPr>
              <w:t xml:space="preserve">投入技术设备有欠缺，基本能满足项目实施需要；技术人员配备简单，基本能满足项目实施需要的得</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分；</w:t>
            </w:r>
            <w:r/>
          </w:p>
          <w:p>
            <w:pPr>
              <w:numPr>
                <w:ilvl w:val="0"/>
                <w:numId w:val="0"/>
              </w:numPr>
              <w:ind w:left="425" w:hanging="425"/>
              <w:jc w:val="left"/>
              <w:spacing w:line="360" w:lineRule="auto"/>
              <w:rPr>
                <w:rFonts w:hint="eastAsia" w:ascii="宋体" w:hAnsi="宋体" w:eastAsia="宋体" w:cs="宋体"/>
                <w:color w:val="000000"/>
                <w:szCs w:val="21"/>
                <w:highlight w:val="none"/>
              </w:rPr>
            </w:pPr>
            <w:r>
              <w:rPr>
                <w:rFonts w:ascii="宋体" w:hAnsi="宋体" w:eastAsia="宋体" w:cs="宋体"/>
                <w:b w:val="0"/>
                <w:bCs w:val="0"/>
                <w:color w:val="000000"/>
                <w:sz w:val="21"/>
                <w:szCs w:val="21"/>
                <w:highlight w:val="none"/>
                <w:lang w:val="en-US" w:eastAsia="zh-CN" w:bidi="ar-SA"/>
              </w:rPr>
              <w:t xml:space="preserve">(5)</w:t>
            </w:r>
            <w:r>
              <w:rPr>
                <w:rFonts w:hint="eastAsia" w:ascii="宋体" w:hAnsi="宋体" w:cs="宋体"/>
                <w:b w:val="0"/>
                <w:bCs w:val="0"/>
                <w:color w:val="000000"/>
                <w:szCs w:val="21"/>
                <w:highlight w:val="none"/>
              </w:rPr>
              <w:t xml:space="preserve">未提供不得分。</w:t>
            </w:r>
            <w:r/>
          </w:p>
        </w:tc>
        <w:tc>
          <w:tcPr>
            <w:tcMar>
              <w:left w:w="15" w:type="dxa"/>
              <w:top w:w="15" w:type="dxa"/>
              <w:right w:w="15" w:type="dxa"/>
              <w:bottom w:w="0" w:type="dxa"/>
            </w:tcMar>
            <w:tcW w:w="844" w:type="dxa"/>
            <w:vAlign w:val="center"/>
            <w:textDirection w:val="lrTb"/>
            <w:noWrap w:val="false"/>
          </w:tcPr>
          <w:p>
            <w:pPr>
              <w:jc w:val="center"/>
              <w:spacing w:line="360" w:lineRule="auto"/>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val="en-US" w:eastAsia="zh-CN"/>
              </w:rPr>
              <w:t xml:space="preserve">1</w:t>
            </w:r>
            <w:r>
              <w:rPr>
                <w:rFonts w:hint="eastAsia" w:ascii="宋体" w:hAnsi="宋体" w:cs="宋体"/>
                <w:color w:val="000000"/>
                <w:sz w:val="24"/>
                <w:szCs w:val="20"/>
                <w:highlight w:val="none"/>
                <w:lang w:val="en-US" w:eastAsia="zh-CN"/>
              </w:rPr>
              <w:t xml:space="preserve">1</w:t>
            </w:r>
            <w:r/>
          </w:p>
        </w:tc>
      </w:tr>
    </w:tbl>
    <w:p>
      <w:pPr>
        <w:pStyle w:val="965"/>
        <w:ind w:left="0" w:firstLine="0"/>
        <w:keepLines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22"/>
        <w:keepLines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四、其他</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1.磋商小组将响应文件评价得分加总后，得出本次评标的最终得分。</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2.供应商的最后得分为磋商小组所评分数的总分值。</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3.经磋商小组成员审查，得分按由高到低排列，确定1个</w:t>
      </w:r>
      <w:r>
        <w:rPr>
          <w:rFonts w:hint="eastAsia" w:ascii="宋体" w:hAnsi="宋体" w:cs="宋体"/>
          <w:color w:val="000000"/>
          <w:sz w:val="24"/>
          <w:szCs w:val="24"/>
          <w:lang w:val="en-US" w:eastAsia="zh-CN"/>
        </w:rPr>
        <w:t xml:space="preserve">成交</w:t>
      </w:r>
      <w:r>
        <w:rPr>
          <w:rFonts w:hint="eastAsia" w:ascii="宋体" w:hAnsi="宋体" w:eastAsia="宋体" w:cs="宋体"/>
          <w:color w:val="000000"/>
          <w:sz w:val="24"/>
          <w:szCs w:val="24"/>
        </w:rPr>
        <w:t xml:space="preserve">候选人；如因成交供应商原因无故不签订合同，采购人有权取消其中标资格并按本次评审得分高低顺位替补或重新开展采购活动。</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4.响应文件中如出现前后不一致时，</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有权请磋商供应商澄清说明。磋商供应商承诺所提供资料全部真实，如有伪造，视作磋商供应商自动放弃投标及成交资格，并视作磋商供应商自愿接受相关处罚。</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5.磋商报价超过财政审批预算金额的，不得进入评标程序。</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认为磋商供应商的报价明显低于其他通过符合性审查磋商供应商的报价，有可能无法诚信履约的，</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有权要求供应商提供书面证明材料。该供应商不能合理说明原因并提供证明材料，</w:t>
      </w:r>
      <w:r>
        <w:rPr>
          <w:rFonts w:hint="eastAsia" w:ascii="宋体" w:hAnsi="宋体" w:eastAsia="宋体" w:cs="宋体"/>
          <w:color w:val="000000"/>
          <w:sz w:val="24"/>
          <w:szCs w:val="24"/>
        </w:rPr>
        <w:t xml:space="preserve">磋商小组</w:t>
      </w:r>
      <w:r>
        <w:rPr>
          <w:rFonts w:hint="eastAsia" w:ascii="宋体" w:hAnsi="宋体" w:eastAsia="宋体" w:cs="宋体"/>
          <w:bCs/>
          <w:color w:val="000000"/>
          <w:sz w:val="24"/>
          <w:szCs w:val="24"/>
        </w:rPr>
        <w:t xml:space="preserve">有权将该供应商的响应文件作无效标处理。供应商应根据国家政策调整规律进行报价，充分考虑服务期内的市场因素和成本变化状况的风险。</w:t>
      </w:r>
      <w:r/>
    </w:p>
    <w:p>
      <w:pPr>
        <w:ind w:firstLine="480"/>
        <w:keepLines w:val="0"/>
        <w:pageBreakBefore w:val="0"/>
        <w:spacing w:line="360" w:lineRule="auto"/>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7.本办法未尽事宜，由磋商小组依据有关法规研究解决。</w:t>
      </w:r>
      <w:r/>
    </w:p>
    <w:p>
      <w:pPr>
        <w:pStyle w:val="897"/>
        <w:ind w:firstLine="720"/>
        <w:pageBreakBefore w:val="0"/>
        <w:spacing w:line="360" w:lineRule="auto"/>
        <w:rPr>
          <w:rFonts w:hint="eastAsia" w:ascii="宋体" w:hAnsi="宋体" w:eastAsia="宋体" w:cs="宋体"/>
          <w:bCs/>
          <w:color w:val="000000"/>
          <w:sz w:val="36"/>
          <w:szCs w:val="22"/>
        </w:rPr>
      </w:pPr>
      <w:r>
        <w:rPr>
          <w:rFonts w:hint="eastAsia" w:ascii="宋体" w:hAnsi="宋体" w:eastAsia="宋体" w:cs="宋体"/>
          <w:bCs/>
          <w:color w:val="000000"/>
          <w:sz w:val="36"/>
          <w:szCs w:val="22"/>
        </w:rPr>
        <w:br w:type="page" w:clear="all"/>
      </w:r>
      <w:bookmarkStart w:id="685" w:name="_Toc3383093"/>
      <w:r/>
      <w:bookmarkStart w:id="686" w:name="_Toc511305211"/>
      <w:r/>
      <w:bookmarkStart w:id="687" w:name="_Toc481072017"/>
      <w:r/>
      <w:bookmarkStart w:id="688" w:name="_Toc475009301"/>
      <w:r/>
      <w:bookmarkStart w:id="689" w:name="_Toc481071971"/>
      <w:r/>
      <w:r/>
    </w:p>
    <w:p>
      <w:pPr>
        <w:pStyle w:val="897"/>
        <w:ind w:firstLine="720"/>
        <w:pageBreakBefore w:val="0"/>
        <w:spacing w:line="360" w:lineRule="auto"/>
        <w:rPr>
          <w:rFonts w:hint="eastAsia" w:ascii="宋体" w:hAnsi="宋体" w:eastAsia="宋体" w:cs="宋体"/>
          <w:bCs/>
          <w:color w:val="000000"/>
          <w:sz w:val="36"/>
          <w:szCs w:val="22"/>
        </w:rPr>
      </w:pPr>
      <w:r>
        <w:rPr>
          <w:rFonts w:hint="eastAsia" w:ascii="宋体" w:hAnsi="宋体" w:eastAsia="宋体" w:cs="宋体"/>
          <w:bCs/>
          <w:color w:val="000000"/>
          <w:sz w:val="36"/>
          <w:szCs w:val="22"/>
        </w:rPr>
      </w:r>
      <w:r/>
    </w:p>
    <w:p>
      <w:pPr>
        <w:pStyle w:val="897"/>
        <w:ind w:firstLine="720"/>
        <w:pageBreakBefore w:val="0"/>
        <w:spacing w:line="360" w:lineRule="auto"/>
        <w:rPr>
          <w:rFonts w:hint="eastAsia" w:ascii="宋体" w:hAnsi="宋体" w:eastAsia="宋体" w:cs="宋体"/>
          <w:bCs/>
          <w:color w:val="000000"/>
          <w:sz w:val="30"/>
          <w:szCs w:val="30"/>
        </w:rPr>
      </w:pPr>
      <w:r>
        <w:rPr>
          <w:rFonts w:hint="eastAsia" w:ascii="宋体" w:hAnsi="宋体" w:eastAsia="宋体" w:cs="宋体"/>
          <w:b/>
          <w:color w:val="000000"/>
          <w:sz w:val="30"/>
          <w:szCs w:val="30"/>
        </w:rPr>
        <w:t xml:space="preserve">第六章  响应文件格式</w:t>
      </w:r>
      <w:bookmarkEnd w:id="114"/>
      <w:r/>
      <w:bookmarkEnd w:id="115"/>
      <w:r/>
      <w:bookmarkEnd w:id="116"/>
      <w:r/>
      <w:bookmarkEnd w:id="117"/>
      <w:r/>
      <w:bookmarkEnd w:id="118"/>
      <w:r/>
      <w:bookmarkEnd w:id="119"/>
      <w:r/>
      <w:bookmarkEnd w:id="120"/>
      <w:r/>
      <w:bookmarkEnd w:id="121"/>
      <w:r/>
      <w:bookmarkEnd w:id="122"/>
      <w:r/>
      <w:bookmarkEnd w:id="685"/>
      <w:r/>
      <w:bookmarkEnd w:id="686"/>
      <w:r/>
      <w:bookmarkEnd w:id="687"/>
      <w:r/>
      <w:bookmarkEnd w:id="688"/>
      <w:r/>
      <w:bookmarkEnd w:id="689"/>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10"/>
        <w:pageBreakBefore w:val="0"/>
        <w:spacing w:line="360" w:lineRule="auto"/>
        <w:rPr>
          <w:rFonts w:hint="eastAsia" w:ascii="宋体" w:hAnsi="宋体" w:eastAsia="宋体" w:cs="宋体"/>
          <w:b/>
          <w:color w:val="000000"/>
          <w:sz w:val="24"/>
          <w:szCs w:val="24"/>
        </w:rPr>
      </w:pPr>
      <w:r/>
      <w:bookmarkStart w:id="690" w:name="_Toc481071974"/>
      <w:r/>
      <w:bookmarkStart w:id="691" w:name="_Toc481072020"/>
      <w:r/>
      <w:bookmarkStart w:id="692" w:name="_Toc507754065"/>
      <w:r/>
      <w:bookmarkStart w:id="693" w:name="_Toc475009304"/>
      <w:r/>
      <w:bookmarkStart w:id="694" w:name="_Toc511899519"/>
      <w:r/>
      <w:r/>
    </w:p>
    <w:p>
      <w:pPr>
        <w:pStyle w:val="121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723"/>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竞争性磋商响应文件</w:t>
      </w:r>
      <w:r/>
    </w:p>
    <w:p>
      <w:pPr>
        <w:pStyle w:val="1184"/>
        <w:ind w:firstLine="723"/>
        <w:jc w:val="center"/>
        <w:pageBreakBefore w:val="0"/>
        <w:spacing w:before="0" w:after="0"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ind w:firstLine="42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42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48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项 目 名 称：</w:t>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项 目 编 号：</w:t>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磋商供应商名称：</w:t>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磋商供应商地址：               </w:t>
      </w:r>
      <w:r/>
    </w:p>
    <w:p>
      <w:pPr>
        <w:ind w:firstLine="562"/>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562"/>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r/>
    </w:p>
    <w:p>
      <w:pPr>
        <w:pStyle w:val="1184"/>
        <w:ind w:firstLine="42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42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8"/>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color w:val="000000"/>
          <w:sz w:val="24"/>
          <w:szCs w:val="24"/>
        </w:rPr>
        <w:br w:type="page" w:clear="all"/>
      </w:r>
      <w:bookmarkEnd w:id="690"/>
      <w:r/>
      <w:bookmarkEnd w:id="691"/>
      <w:r/>
      <w:bookmarkEnd w:id="692"/>
      <w:r/>
      <w:bookmarkEnd w:id="693"/>
      <w:r/>
      <w:bookmarkEnd w:id="694"/>
      <w:r>
        <w:rPr>
          <w:rFonts w:hint="eastAsia" w:ascii="宋体" w:hAnsi="宋体" w:eastAsia="宋体" w:cs="宋体"/>
          <w:b/>
          <w:bCs/>
          <w:color w:val="000000"/>
          <w:sz w:val="30"/>
          <w:szCs w:val="30"/>
        </w:rPr>
        <w:t xml:space="preserve">一、磋商响应函</w:t>
      </w:r>
      <w:r/>
    </w:p>
    <w:p>
      <w:pPr>
        <w:pStyle w:val="1184"/>
        <w:ind w:firstLine="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号磋商文件，正式授权下述签字人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（姓名和职务）代表我方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（供应商名称），全权处理本次项目磋商采购的有关事宜。</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签字人兹宣布同意如下：</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按磋商文件规定的各项要求，向采购人提供所需工程。</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我们同意向贵方提供贵方可能要求的与本次项目采购有关的任何证据或资料，并保证我方已提供和将要提供的文件是真实的、准确的。</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我们完全理解贵方不一定将合同授予最低报价的供应商。</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我们已详细审核全部磋商文件及其有效补充文件，我们知道必须放弃提出含糊不清或误解问题的权利。</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我们同意从规定的开标日期起遵循本响应文件，并在规定的投标有效期期满之前均具有约束力。</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如果在开标后规定的投标有效期内撤回响应文件或中标后拒绝签订合同，我方将接受采购人相关处罚。</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一旦我方成交，我方将根据磋商文件的规定，严格履行合同的责任和义务，并保证在承诺的时间内完成项目，交付买方验收、使用。</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与本次磋商有关的正式通讯地址为：</w:t>
      </w:r>
      <w:r/>
    </w:p>
    <w:p>
      <w:pPr>
        <w:pStyle w:val="1184"/>
        <w:pageBreakBefore w:val="0"/>
        <w:spacing w:before="0" w:after="0" w:line="360" w:lineRule="auto"/>
        <w:rPr>
          <w:rFonts w:hint="eastAsia" w:ascii="宋体" w:hAnsi="宋体" w:eastAsia="宋体" w:cs="宋体"/>
          <w:color w:val="000000"/>
          <w:sz w:val="24"/>
          <w:szCs w:val="24"/>
          <w:u w:val="single"/>
        </w:rPr>
      </w:pPr>
      <w:r/>
      <w:bookmarkStart w:id="695" w:name="_Toc120614284"/>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        箱： </w:t>
      </w:r>
      <w:r>
        <w:rPr>
          <w:rFonts w:hint="eastAsia" w:ascii="宋体" w:hAnsi="宋体" w:eastAsia="宋体" w:cs="宋体"/>
          <w:color w:val="000000"/>
          <w:sz w:val="24"/>
          <w:szCs w:val="24"/>
          <w:u w:val="single"/>
        </w:rPr>
        <w:t xml:space="preserve">                 </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供应商开户行：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账</w:t>
      </w:r>
      <w:r>
        <w:rPr>
          <w:rFonts w:hint="eastAsia" w:ascii="宋体" w:hAnsi="宋体" w:eastAsia="宋体" w:cs="宋体"/>
          <w:color w:val="000000"/>
          <w:sz w:val="24"/>
          <w:szCs w:val="24"/>
        </w:rPr>
        <w:t xml:space="preserve">        户：</w:t>
      </w:r>
      <w:r>
        <w:rPr>
          <w:rFonts w:hint="eastAsia" w:ascii="宋体" w:hAnsi="宋体" w:eastAsia="宋体" w:cs="宋体"/>
          <w:color w:val="000000"/>
          <w:sz w:val="24"/>
          <w:szCs w:val="24"/>
          <w:u w:val="single"/>
        </w:rPr>
        <w:t xml:space="preserve">                  </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u w:val="single"/>
        </w:rPr>
        <w:t xml:space="preserve">               </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u w:val="single"/>
        </w:rPr>
        <w:t xml:space="preserve">                         </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p>
    <w:p>
      <w:pPr>
        <w:pStyle w:val="898"/>
        <w:jc w:val="center"/>
        <w:keepLines w:val="0"/>
        <w:pageBreakBefore w:val="0"/>
        <w:spacing w:before="0" w:beforeAutospacing="0" w:after="0" w:afterAutospacing="0" w:line="360" w:lineRule="auto"/>
        <w:widowControl/>
        <w:rPr>
          <w:rFonts w:hint="eastAsia" w:ascii="宋体" w:hAnsi="宋体" w:eastAsia="宋体" w:cs="宋体"/>
          <w:sz w:val="30"/>
          <w:szCs w:val="30"/>
        </w:rPr>
      </w:pPr>
      <w:r>
        <w:rPr>
          <w:rFonts w:hint="eastAsia" w:ascii="宋体" w:hAnsi="宋体" w:eastAsia="宋体" w:cs="宋体"/>
          <w:color w:val="000000"/>
          <w:sz w:val="24"/>
          <w:szCs w:val="24"/>
        </w:rPr>
        <w:br w:type="page" w:clear="all"/>
      </w:r>
      <w:bookmarkStart w:id="696" w:name="_Toc120614291"/>
      <w:r/>
      <w:bookmarkStart w:id="697" w:name="_Toc26554103"/>
      <w:r/>
      <w:bookmarkStart w:id="698" w:name="_Toc49090582"/>
      <w:r/>
      <w:bookmarkStart w:id="699" w:name="_Toc489283151"/>
      <w:r/>
      <w:bookmarkStart w:id="700" w:name="_Toc481071977"/>
      <w:r/>
      <w:bookmarkStart w:id="701" w:name="_Toc481072023"/>
      <w:r/>
      <w:bookmarkStart w:id="702" w:name="_Toc23828483"/>
      <w:r/>
      <w:bookmarkStart w:id="703" w:name="_Toc22356583"/>
      <w:r/>
      <w:bookmarkStart w:id="704" w:name="_Toc513029281"/>
      <w:r/>
      <w:bookmarkStart w:id="705" w:name="_Toc24878535"/>
      <w:r/>
      <w:bookmarkStart w:id="706" w:name="_Toc475009307"/>
      <w:r/>
      <w:bookmarkStart w:id="707" w:name="_Toc462564146"/>
      <w:r>
        <w:rPr>
          <w:rFonts w:hint="eastAsia" w:ascii="宋体" w:hAnsi="宋体" w:eastAsia="宋体" w:cs="宋体"/>
          <w:b/>
          <w:bCs/>
          <w:color w:val="000000"/>
          <w:sz w:val="30"/>
          <w:szCs w:val="30"/>
        </w:rPr>
        <w:t xml:space="preserve">二、</w:t>
      </w:r>
      <w:r>
        <w:rPr>
          <w:rStyle w:val="950"/>
          <w:rFonts w:hint="eastAsia" w:ascii="宋体" w:hAnsi="宋体" w:eastAsia="宋体" w:cs="宋体"/>
          <w:b/>
          <w:bCs w:val="0"/>
          <w:sz w:val="30"/>
          <w:szCs w:val="30"/>
        </w:rPr>
        <w:t xml:space="preserve">磋商报价表</w:t>
      </w:r>
      <w:r/>
    </w:p>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本次为首次价                   货币单位：人民币元</w:t>
      </w:r>
      <w:r/>
    </w:p>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  </w:t>
      </w:r>
      <w:r/>
    </w:p>
    <w:tbl>
      <w:tblPr>
        <w:tblStyle w:val="90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4"/>
        <w:gridCol w:w="2251"/>
        <w:gridCol w:w="3741"/>
      </w:tblGrid>
      <w:tr>
        <w:trPr>
          <w:tblCellSpacing w:w="15" w:type="dxa"/>
        </w:trPr>
        <w:tc>
          <w:tcPr>
            <w:tcW w:w="3330" w:type="dxa"/>
            <w:vAlign w:val="center"/>
            <w:textDirection w:val="lrTb"/>
            <w:noWrap w:val="false"/>
          </w:tcPr>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3345" w:type="dxa"/>
            <w:vAlign w:val="center"/>
            <w:textDirection w:val="lrTb"/>
            <w:noWrap w:val="false"/>
          </w:tcPr>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W w:w="4980" w:type="dxa"/>
            <w:vAlign w:val="center"/>
            <w:textDirection w:val="lrTb"/>
            <w:noWrap w:val="false"/>
          </w:tcPr>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tblCellSpacing w:w="15" w:type="dxa"/>
        </w:trPr>
        <w:tc>
          <w:tcPr>
            <w:tcW w:w="3330" w:type="dxa"/>
            <w:vAlign w:val="center"/>
            <w:textDirection w:val="lrTb"/>
            <w:noWrap w:val="false"/>
          </w:tcPr>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w:t>
            </w:r>
            <w:r/>
          </w:p>
        </w:tc>
        <w:tc>
          <w:tcPr>
            <w:tcW w:w="3345" w:type="dxa"/>
            <w:vAlign w:val="center"/>
            <w:textDirection w:val="lrTb"/>
            <w:noWrap w:val="false"/>
          </w:tcPr>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详见响应文件</w:t>
            </w:r>
            <w:r/>
          </w:p>
        </w:tc>
        <w:tc>
          <w:tcPr>
            <w:tcW w:w="4980" w:type="dxa"/>
            <w:vAlign w:val="center"/>
            <w:textDirection w:val="lrTb"/>
            <w:noWrap w:val="false"/>
          </w:tcPr>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8"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7" o:spid="_x0000_s7"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9"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w:t>
            </w:r>
            <w:r>
              <w:rPr>
                <w:rFonts w:hint="eastAsia" w:cs="宋体"/>
                <w:sz w:val="24"/>
                <w:szCs w:val="24"/>
                <w:lang w:val="en-US" w:eastAsia="zh-CN"/>
              </w:rPr>
              <w:t xml:space="preserve">     </w:t>
            </w:r>
            <w:r>
              <w:rPr>
                <w:rFonts w:hint="eastAsia" w:ascii="宋体" w:hAnsi="宋体" w:eastAsia="宋体" w:cs="宋体"/>
                <w:sz w:val="24"/>
                <w:szCs w:val="24"/>
              </w:rPr>
              <w:t xml:space="preserve">元</w:t>
            </w:r>
            <w:r/>
          </w:p>
        </w:tc>
      </w:tr>
      <w:tr>
        <w:trPr>
          <w:tblCellSpacing w:w="15" w:type="dxa"/>
        </w:trPr>
        <w:tc>
          <w:tcPr>
            <w:tcW w:w="3330" w:type="dxa"/>
            <w:vAlign w:val="center"/>
            <w:textDirection w:val="lrTb"/>
            <w:noWrap w:val="false"/>
          </w:tcPr>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tcW w:w="8340" w:type="dxa"/>
            <w:vAlign w:val="center"/>
            <w:textDirection w:val="lrTb"/>
            <w:noWrap w:val="false"/>
          </w:tcPr>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金额大写 </w:t>
            </w:r>
            <w:r/>
          </w:p>
        </w:tc>
      </w:tr>
    </w:tbl>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报价说明：</w:t>
      </w:r>
      <w:r/>
    </w:p>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1.</w:t>
      </w:r>
      <w:r>
        <w:rPr>
          <w:rFonts w:hint="eastAsia" w:ascii="宋体" w:hAnsi="宋体" w:eastAsia="宋体" w:cs="宋体"/>
          <w:sz w:val="24"/>
          <w:szCs w:val="24"/>
        </w:rPr>
        <w:t xml:space="preserve">报价包括完成项目的所有费用。采购人不再支付报价以外的任何费用。</w:t>
      </w:r>
      <w:r/>
    </w:p>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2.</w:t>
      </w:r>
      <w:r>
        <w:rPr>
          <w:rFonts w:hint="eastAsia" w:ascii="宋体" w:hAnsi="宋体" w:eastAsia="宋体" w:cs="宋体"/>
          <w:sz w:val="24"/>
          <w:szCs w:val="24"/>
        </w:rPr>
        <w:t xml:space="preserve">报价以总价为准，大小写不一致以大写为准；</w:t>
      </w:r>
      <w:r/>
    </w:p>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3.</w:t>
      </w:r>
      <w:r>
        <w:rPr>
          <w:rFonts w:hint="eastAsia" w:ascii="宋体" w:hAnsi="宋体" w:eastAsia="宋体" w:cs="宋体"/>
          <w:sz w:val="24"/>
          <w:szCs w:val="24"/>
        </w:rPr>
        <w:t xml:space="preserve">偏离说明：详见《偏离表》；</w:t>
      </w:r>
      <w:r/>
    </w:p>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4.</w:t>
      </w:r>
      <w:r>
        <w:rPr>
          <w:rFonts w:hint="eastAsia" w:ascii="宋体" w:hAnsi="宋体" w:eastAsia="宋体" w:cs="宋体"/>
          <w:sz w:val="24"/>
          <w:szCs w:val="24"/>
        </w:rPr>
        <w:t xml:space="preserve">如最后报价未列明单价，则最后所报各项单价计算方法为：（最后报价/ 最初报价）* 各项最初报价的单价。</w:t>
      </w:r>
      <w:r/>
    </w:p>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cs="宋体"/>
          <w:color w:val="000000"/>
          <w:sz w:val="24"/>
          <w:szCs w:val="24"/>
          <w:lang w:val="en-US" w:eastAsia="zh-CN"/>
        </w:rPr>
        <w:t xml:space="preserve">电子签章</w:t>
      </w:r>
      <w:r>
        <w:rPr>
          <w:rFonts w:hint="eastAsia" w:ascii="宋体" w:hAnsi="宋体" w:eastAsia="宋体" w:cs="宋体"/>
          <w:sz w:val="24"/>
          <w:szCs w:val="24"/>
        </w:rPr>
        <w:t xml:space="preserve">）：</w:t>
      </w:r>
      <w:r/>
    </w:p>
    <w:p>
      <w:pPr>
        <w:pStyle w:val="943"/>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0</wp:posOffset>
                </wp:positionH>
                <wp:positionV relativeFrom="paragraph">
                  <wp:posOffset>0</wp:posOffset>
                </wp:positionV>
                <wp:extent cx="635" cy="0"/>
                <wp:effectExtent l="0" t="0" r="0" b="0"/>
                <wp:wrapNone/>
                <wp:docPr id="10"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9" o:spid="_x0000_s9" o:spt="1" type="#_x0000_t1" style="position:absolute;z-index:25166233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1"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0" o:spid="_x0000_s10"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年</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0</wp:posOffset>
                </wp:positionV>
                <wp:extent cx="635" cy="0"/>
                <wp:effectExtent l="0" t="0" r="0" b="0"/>
                <wp:wrapNone/>
                <wp:docPr id="1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1" o:spid="_x0000_s11" o:spt="1" type="#_x0000_t1" style="position:absolute;z-index:25166336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3"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2" o:spid="_x0000_s12"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月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0</wp:posOffset>
                </wp:positionH>
                <wp:positionV relativeFrom="paragraph">
                  <wp:posOffset>0</wp:posOffset>
                </wp:positionV>
                <wp:extent cx="635" cy="0"/>
                <wp:effectExtent l="0" t="0" r="0" b="0"/>
                <wp:wrapNone/>
                <wp:docPr id="14"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3" o:spid="_x0000_s13" o:spt="1" type="#_x0000_t1" style="position:absolute;z-index:25166438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5" name="矩形 1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4" o:spid="_x0000_s14"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日</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pageBreakBefore w:val="0"/>
        <w:spacing w:line="360" w:lineRule="auto"/>
        <w:rPr>
          <w:rFonts w:hint="eastAsia" w:ascii="宋体" w:hAnsi="宋体" w:eastAsia="宋体" w:cs="宋体"/>
          <w:b/>
          <w:bCs/>
          <w:color w:val="000000"/>
          <w:sz w:val="24"/>
          <w:szCs w:val="24"/>
        </w:rPr>
        <w:sectPr>
          <w:footerReference w:type="default" r:id="rId10"/>
          <w:footnotePr/>
          <w:endnotePr/>
          <w:type w:val="nextPage"/>
          <w:pgSz w:w="11906" w:h="16838" w:orient="portrait"/>
          <w:pgMar w:top="1440" w:right="1800" w:bottom="1440" w:left="1800" w:header="851" w:footer="992" w:gutter="0"/>
          <w:pgNumType w:start="25"/>
          <w:cols w:num="1" w:sep="0" w:space="1701" w:equalWidth="1"/>
          <w:docGrid w:linePitch="360"/>
        </w:sectPr>
      </w:pPr>
      <w:r>
        <w:rPr>
          <w:rFonts w:hint="eastAsia" w:ascii="宋体" w:hAnsi="宋体" w:eastAsia="宋体" w:cs="宋体"/>
          <w:b/>
          <w:bCs/>
          <w:color w:val="000000"/>
          <w:sz w:val="24"/>
          <w:szCs w:val="24"/>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30"/>
          <w:szCs w:val="30"/>
        </w:rPr>
        <w:t xml:space="preserve">三、法定代表人资格证明</w:t>
      </w:r>
      <w:r/>
    </w:p>
    <w:p>
      <w:pPr>
        <w:ind w:firstLine="56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w:t>
      </w:r>
      <w:r>
        <w:rPr>
          <w:rFonts w:hint="eastAsia" w:ascii="宋体" w:hAnsi="宋体" w:eastAsia="宋体" w:cs="宋体"/>
          <w:b/>
          <w:color w:val="000000"/>
          <w:sz w:val="24"/>
          <w:szCs w:val="24"/>
          <w:u w:val="single"/>
        </w:rPr>
        <w:t xml:space="preserve">                              </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b/>
          <w:color w:val="000000"/>
          <w:sz w:val="24"/>
          <w:szCs w:val="24"/>
          <w:u w:val="single"/>
        </w:rPr>
        <w:t xml:space="preserve">                              </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 性别：</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年龄：</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职务：</w:t>
      </w:r>
      <w:r>
        <w:rPr>
          <w:rFonts w:hint="eastAsia" w:ascii="宋体" w:hAnsi="宋体" w:eastAsia="宋体" w:cs="宋体"/>
          <w:b/>
          <w:color w:val="000000"/>
          <w:sz w:val="24"/>
          <w:szCs w:val="24"/>
          <w:u w:val="single"/>
        </w:rPr>
        <w:t xml:space="preserve">          </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（供应商名称）</w:t>
      </w:r>
      <w:r>
        <w:rPr>
          <w:rFonts w:hint="eastAsia" w:ascii="宋体" w:hAnsi="宋体" w:eastAsia="宋体" w:cs="宋体"/>
          <w:color w:val="000000"/>
          <w:sz w:val="24"/>
          <w:szCs w:val="24"/>
        </w:rPr>
        <w:t xml:space="preserve">的法定代表人。为参与</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项目，签署上述项目的响应文件、进行投标、签署合同和处理与之有关的一切事务。</w:t>
      </w:r>
      <w:r/>
    </w:p>
    <w:p>
      <w:pPr>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特此证明。</w:t>
      </w:r>
      <w:r/>
    </w:p>
    <w:p>
      <w:pPr>
        <w:ind w:firstLine="5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1184"/>
        <w:ind w:firstLine="0"/>
        <w:jc w:val="center"/>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p>
    <w:p>
      <w:pPr>
        <w:ind w:firstLine="532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204"/>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30"/>
          <w:szCs w:val="30"/>
        </w:rPr>
        <w:t xml:space="preserve">四、授权委托书</w:t>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w:t>
      </w: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rPr>
        <w:t xml:space="preserve">授权</w:t>
      </w:r>
      <w:r>
        <w:rPr>
          <w:rFonts w:hint="eastAsia" w:ascii="宋体" w:hAnsi="宋体" w:eastAsia="宋体" w:cs="宋体"/>
          <w:color w:val="000000"/>
          <w:sz w:val="24"/>
          <w:szCs w:val="24"/>
          <w:u w:val="single"/>
        </w:rPr>
        <w:t xml:space="preserve">（被授权人的姓名）</w:t>
      </w:r>
      <w:r>
        <w:rPr>
          <w:rFonts w:hint="eastAsia" w:ascii="宋体" w:hAnsi="宋体" w:eastAsia="宋体" w:cs="宋体"/>
          <w:color w:val="000000"/>
          <w:sz w:val="24"/>
          <w:szCs w:val="24"/>
        </w:rPr>
        <w:t xml:space="preserve">为</w:t>
      </w:r>
      <w:r>
        <w:rPr>
          <w:rFonts w:hint="eastAsia" w:ascii="宋体" w:hAnsi="宋体" w:eastAsia="宋体" w:cs="宋体"/>
          <w:b/>
          <w:color w:val="000000"/>
          <w:sz w:val="24"/>
          <w:szCs w:val="24"/>
          <w:u w:val="single"/>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）的采购活动的合法代理人，以我单位名义签署上述项目的响应文件、进行投标、签署合同和处理与之有关的一切事务。</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受托人在办理上述事宜过程中以其自己的名义所签署的所有文件我单位均予以承认。受托人无转委托权。</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委托期限：至上述事宜处理完毕止。</w:t>
      </w:r>
      <w:r/>
    </w:p>
    <w:p>
      <w:pPr>
        <w:ind w:firstLine="48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被授权代表情况：</w:t>
      </w:r>
      <w:r/>
    </w:p>
    <w:p>
      <w:pPr>
        <w:ind w:firstLine="525"/>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姓名：         性别：       电话：</w:t>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法定代表人（签字或盖章）：</w:t>
      </w:r>
      <w:r/>
    </w:p>
    <w:p>
      <w:pPr>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  期：</w:t>
      </w:r>
      <w:r/>
    </w:p>
    <w:tbl>
      <w:tblPr>
        <w:tblStyle w:val="9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2537"/>
        </w:trPr>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法人身份证：</w:t>
            </w:r>
            <w:r/>
          </w:p>
        </w:tc>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2498"/>
        </w:trPr>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授权委托人身份证：</w:t>
            </w:r>
            <w:r/>
          </w:p>
        </w:tc>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pStyle w:val="1184"/>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bookmarkStart w:id="708" w:name="_Toc511899520"/>
      <w:r>
        <w:rPr>
          <w:rFonts w:hint="eastAsia" w:ascii="宋体" w:hAnsi="宋体" w:eastAsia="宋体" w:cs="宋体"/>
          <w:b/>
          <w:bCs/>
          <w:color w:val="000000"/>
          <w:sz w:val="30"/>
          <w:szCs w:val="30"/>
        </w:rPr>
        <w:t xml:space="preserve">五、具备履行合同所必需的设备和专业技术能力的书面声明</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我单位郑重声明：我单位具备履行本项采购合同所必需的设备和专业技术能力，为履行本项采购合同我单位具备如下主要设备和主要专业技术能力：</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主要设备有：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主要专业技术能力有：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br w:type="page" w:clear="all"/>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30"/>
          <w:szCs w:val="30"/>
          <w:lang w:val="en-US" w:eastAsia="zh-CN"/>
        </w:rPr>
        <w:t xml:space="preserve">六、</w:t>
      </w:r>
      <w:r>
        <w:rPr>
          <w:rFonts w:hint="eastAsia" w:ascii="宋体" w:hAnsi="宋体" w:eastAsia="宋体" w:cs="宋体"/>
          <w:b/>
          <w:bCs/>
          <w:color w:val="000000"/>
          <w:sz w:val="30"/>
          <w:szCs w:val="30"/>
        </w:rPr>
        <w:t xml:space="preserve">参加政府采购活动前3年内在经营活动中没有重大违法记录的书面声明</w:t>
      </w:r>
      <w:r/>
    </w:p>
    <w:p>
      <w:pPr>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p>
    <w:p>
      <w:pPr>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p>
    <w:p>
      <w:pPr>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pStyle w:val="900"/>
        <w:rPr>
          <w:rFonts w:hint="eastAsia"/>
        </w:rPr>
      </w:pPr>
      <w:r>
        <w:rPr>
          <w:rFonts w:hint="eastAsia"/>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pStyle w:val="962"/>
        <w:rPr>
          <w:rFonts w:hint="eastAsia"/>
        </w:rPr>
      </w:pPr>
      <w:r>
        <w:rPr>
          <w:rFonts w:hint="eastAsia"/>
        </w:rPr>
      </w:r>
      <w:r/>
    </w:p>
    <w:p>
      <w:pPr>
        <w:jc w:val="center"/>
        <w:pageBreakBefore w:val="0"/>
        <w:spacing w:line="360" w:lineRule="auto"/>
        <w:rPr>
          <w:rFonts w:hint="eastAsia" w:ascii="宋体" w:hAnsi="宋体" w:eastAsia="宋体" w:cs="宋体"/>
          <w:color w:val="000000"/>
          <w:sz w:val="30"/>
          <w:szCs w:val="30"/>
        </w:rPr>
        <w:outlineLvl w:val="1"/>
      </w:pPr>
      <w:r>
        <w:rPr>
          <w:rFonts w:hint="eastAsia" w:ascii="宋体" w:hAnsi="宋体" w:cs="宋体"/>
          <w:b/>
          <w:bCs/>
          <w:color w:val="000000"/>
          <w:sz w:val="30"/>
          <w:szCs w:val="30"/>
          <w:lang w:val="en-US" w:eastAsia="zh-CN"/>
        </w:rPr>
        <w:t xml:space="preserve">七</w:t>
      </w:r>
      <w:r>
        <w:rPr>
          <w:rFonts w:hint="eastAsia" w:ascii="宋体" w:hAnsi="宋体" w:eastAsia="宋体" w:cs="宋体"/>
          <w:b/>
          <w:bCs/>
          <w:color w:val="000000"/>
          <w:sz w:val="30"/>
          <w:szCs w:val="30"/>
        </w:rPr>
        <w:t xml:space="preserve">、</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Start w:id="709" w:name="_Toc481071981"/>
      <w:r/>
      <w:bookmarkStart w:id="710" w:name="_Toc511899524"/>
      <w:r/>
      <w:bookmarkStart w:id="711" w:name="_Toc475009311"/>
      <w:r/>
      <w:bookmarkStart w:id="712" w:name="_Toc481072027"/>
      <w:r/>
      <w:bookmarkStart w:id="713" w:name="_Toc475009309"/>
      <w:r/>
      <w:bookmarkStart w:id="714" w:name="_Toc481072025"/>
      <w:r/>
      <w:bookmarkStart w:id="715" w:name="_Toc481071979"/>
      <w:r>
        <w:rPr>
          <w:rFonts w:hint="eastAsia" w:ascii="宋体" w:hAnsi="宋体" w:eastAsia="宋体" w:cs="宋体"/>
          <w:b/>
          <w:color w:val="000000"/>
          <w:sz w:val="30"/>
          <w:szCs w:val="30"/>
        </w:rPr>
        <w:t xml:space="preserve">承诺书</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 ：</w:t>
      </w:r>
      <w:r>
        <w:rPr>
          <w:rFonts w:hint="eastAsia" w:ascii="宋体" w:hAnsi="宋体" w:eastAsia="宋体" w:cs="宋体"/>
          <w:color w:val="000000"/>
          <w:sz w:val="24"/>
          <w:szCs w:val="24"/>
          <w:u w:val="single"/>
        </w:rPr>
        <w:t xml:space="preserve">                </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单位名称）参加 </w:t>
      </w:r>
      <w:r>
        <w:rPr>
          <w:rFonts w:hint="eastAsia" w:ascii="宋体" w:hAnsi="宋体" w:eastAsia="宋体" w:cs="宋体"/>
          <w:color w:val="000000"/>
          <w:sz w:val="24"/>
          <w:szCs w:val="24"/>
          <w:u w:val="single"/>
        </w:rPr>
        <w:t xml:space="preserve">   （项目名称和项目编号）</w:t>
      </w:r>
      <w:r>
        <w:rPr>
          <w:rFonts w:hint="eastAsia" w:ascii="宋体" w:hAnsi="宋体" w:eastAsia="宋体" w:cs="宋体"/>
          <w:color w:val="000000"/>
          <w:sz w:val="24"/>
          <w:szCs w:val="24"/>
        </w:rPr>
        <w:t xml:space="preserve">的政府采购活动，郑重承诺具备以下条件：</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（一）参加本次政府采购活动前3年内，我单位在经营活动中没有重大违法记录 ；</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（二）未被“信用中国”网站（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、中国政府采购网（www.ccgp.gov.cn），</w:t>
      </w:r>
      <w:r>
        <w:rPr>
          <w:rFonts w:hint="eastAsia" w:ascii="宋体" w:hAnsi="宋体" w:eastAsia="宋体" w:cs="宋体"/>
          <w:color w:val="000000"/>
          <w:sz w:val="24"/>
          <w:szCs w:val="24"/>
        </w:rPr>
        <w:t xml:space="preserve">列入失</w:t>
      </w:r>
      <w:r>
        <w:rPr>
          <w:rFonts w:hint="eastAsia" w:ascii="宋体" w:hAnsi="宋体" w:cs="宋体"/>
          <w:color w:val="000000"/>
          <w:sz w:val="24"/>
          <w:szCs w:val="24"/>
          <w:lang w:eastAsia="zh-CN"/>
        </w:rPr>
        <w:t xml:space="preserve">信被</w:t>
      </w:r>
      <w:r>
        <w:rPr>
          <w:rFonts w:hint="eastAsia" w:ascii="宋体" w:hAnsi="宋体" w:eastAsia="宋体" w:cs="宋体"/>
          <w:color w:val="000000"/>
          <w:sz w:val="24"/>
          <w:szCs w:val="24"/>
        </w:rPr>
        <w:t xml:space="preserve">执行人、重大税收违法案件当事人名单、政府采购严重违法失信行为记录名单。</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（三）项目负责人不得同时在两个或者两个以上单位受聘或者执业，仅限于以下情形：①同时在两个及以上单位签订劳动合同或缴纳社会保险；</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②将本人执（职）业资格证书同时注册在两个及以上单位；</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③在其他企业担任法定代表人。</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color w:val="000000"/>
          <w:sz w:val="24"/>
          <w:szCs w:val="24"/>
          <w:lang w:eastAsia="zh-CN"/>
        </w:rPr>
        <w:t xml:space="preserve">且</w:t>
      </w:r>
      <w:r>
        <w:rPr>
          <w:rFonts w:hint="eastAsia" w:ascii="宋体" w:hAnsi="宋体" w:eastAsia="宋体" w:cs="宋体"/>
          <w:color w:val="000000"/>
          <w:sz w:val="24"/>
          <w:szCs w:val="24"/>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（五）供应商单位负责人为同一人或者存在直接控股、管理关系的不同供应商，不得参加同一合同项下的政府采购活动。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（六）为采购项目提供整体设计、规范编制或者项目管理、监理、检测等服务的供应商，不得再参加该采购项目的其他采购活动。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本单位对上述承诺的真实性负责。如有虚假，将依法承担相应责任。同时我们同意如贵方要求，可以出示相关证明文件。</w:t>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 xml:space="preserve">八、</w:t>
      </w:r>
      <w:r>
        <w:rPr>
          <w:rFonts w:hint="eastAsia" w:ascii="宋体" w:hAnsi="宋体" w:eastAsia="宋体" w:cs="宋体"/>
          <w:b/>
          <w:color w:val="000000"/>
          <w:sz w:val="30"/>
          <w:szCs w:val="30"/>
        </w:rPr>
        <w:t xml:space="preserve">中小企业声明函</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68"/>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本公司（联合体）郑重声明，根据《政府采购促进中小企业发展管理办法》(财库[2020]46号)的规定，本公司参加采购编号为 </w:t>
      </w:r>
      <w:r>
        <w:rPr>
          <w:rFonts w:hint="eastAsia" w:ascii="宋体" w:hAnsi="宋体" w:eastAsia="宋体" w:cs="宋体"/>
          <w:color w:val="000000"/>
          <w:spacing w:val="-3"/>
          <w:sz w:val="24"/>
          <w:szCs w:val="24"/>
          <w:u w:val="single"/>
        </w:rPr>
        <w:t xml:space="preserve">             </w:t>
      </w:r>
      <w:r>
        <w:rPr>
          <w:rFonts w:hint="eastAsia" w:ascii="宋体" w:hAnsi="宋体" w:eastAsia="宋体" w:cs="宋体"/>
          <w:color w:val="000000"/>
          <w:spacing w:val="-3"/>
          <w:sz w:val="24"/>
          <w:szCs w:val="24"/>
        </w:rPr>
        <w:t xml:space="preserve"> ，</w:t>
      </w:r>
      <w:r>
        <w:rPr>
          <w:rFonts w:hint="eastAsia" w:ascii="宋体" w:hAnsi="宋体" w:eastAsia="宋体" w:cs="宋体"/>
          <w:color w:val="000000"/>
          <w:spacing w:val="-3"/>
          <w:sz w:val="24"/>
          <w:szCs w:val="24"/>
          <w:u w:val="single"/>
        </w:rPr>
        <w:t xml:space="preserve">（项目名称）</w:t>
      </w:r>
      <w:r>
        <w:rPr>
          <w:rFonts w:hint="eastAsia" w:ascii="宋体" w:hAnsi="宋体" w:eastAsia="宋体" w:cs="宋体"/>
          <w:color w:val="000000"/>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），属于</w:t>
      </w:r>
      <w:r>
        <w:rPr>
          <w:rFonts w:hint="eastAsia" w:ascii="宋体" w:hAnsi="宋体" w:eastAsia="宋体" w:cs="宋体"/>
          <w:bCs/>
          <w:color w:val="000000"/>
          <w:sz w:val="24"/>
          <w:szCs w:val="24"/>
          <w:u w:val="single"/>
        </w:rPr>
        <w:t xml:space="preserve"> 建筑业 </w:t>
      </w:r>
      <w:r>
        <w:rPr>
          <w:rFonts w:hint="eastAsia" w:ascii="宋体" w:hAnsi="宋体" w:eastAsia="宋体" w:cs="宋体"/>
          <w:bCs/>
          <w:color w:val="000000"/>
          <w:sz w:val="24"/>
          <w:szCs w:val="24"/>
        </w:rPr>
        <w:t xml:space="preserve">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2.（标的名称），属于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bCs/>
          <w:color w:val="000000"/>
          <w:sz w:val="24"/>
          <w:szCs w:val="24"/>
        </w:rPr>
        <w:t xml:space="preserve">，从业人员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w:t>
      </w:r>
      <w:r/>
    </w:p>
    <w:p>
      <w:pPr>
        <w:pStyle w:val="1217"/>
        <w:ind w:right="417" w:firstLine="723"/>
        <w:pageBreakBefore w:val="0"/>
        <w:spacing w:line="360" w:lineRule="auto"/>
        <w:rPr>
          <w:rFonts w:hint="eastAsia" w:ascii="宋体" w:hAnsi="宋体" w:eastAsia="宋体" w:cs="宋体"/>
          <w:b w:val="0"/>
          <w:bCs w:val="0"/>
          <w:color w:val="000000"/>
          <w:spacing w:val="-3"/>
          <w:sz w:val="24"/>
          <w:szCs w:val="24"/>
          <w:u w:val="single"/>
        </w:rPr>
      </w:pPr>
      <w:r>
        <w:rPr>
          <w:rFonts w:hint="eastAsia" w:ascii="宋体" w:hAnsi="宋体" w:eastAsia="宋体" w:cs="宋体"/>
          <w:color w:val="000000"/>
          <w:sz w:val="24"/>
          <w:szCs w:val="24"/>
        </w:rPr>
        <w:t xml:space="preserve">……</w:t>
      </w:r>
      <w:r/>
    </w:p>
    <w:p>
      <w:pPr>
        <w:pStyle w:val="1217"/>
        <w:ind w:right="417" w:firstLine="645"/>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3"/>
          <w:sz w:val="24"/>
          <w:szCs w:val="24"/>
        </w:rPr>
        <w:t xml:space="preserve">以上企业，不属于大企业的分支机构，不存在控股股东</w:t>
      </w:r>
      <w:r>
        <w:rPr>
          <w:rFonts w:hint="eastAsia" w:ascii="宋体" w:hAnsi="宋体" w:eastAsia="宋体" w:cs="宋体"/>
          <w:b w:val="0"/>
          <w:bCs w:val="0"/>
          <w:color w:val="000000"/>
          <w:spacing w:val="-5"/>
          <w:sz w:val="24"/>
          <w:szCs w:val="24"/>
        </w:rPr>
        <w:t xml:space="preserve">为大企业的情形，也不存在与大企业的负责人为同一人的情形。</w:t>
      </w:r>
      <w:r/>
    </w:p>
    <w:p>
      <w:pPr>
        <w:pStyle w:val="1217"/>
        <w:ind w:right="375" w:firstLine="64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本企业对上述声明内容的真实性负责。如有虚假，将依法承担相应责任。</w:t>
      </w:r>
      <w:r/>
    </w:p>
    <w:p>
      <w:pPr>
        <w:pStyle w:val="1217"/>
        <w:ind w:right="2166"/>
        <w:jc w:val="left"/>
        <w:pageBreakBefore w:val="0"/>
        <w:spacing w:line="360" w:lineRule="auto"/>
        <w:rPr>
          <w:rFonts w:hint="eastAsia" w:ascii="宋体" w:hAnsi="宋体" w:eastAsia="宋体" w:cs="宋体"/>
          <w:b w:val="0"/>
          <w:bCs w:val="0"/>
          <w:color w:val="000000"/>
          <w:spacing w:val="-8"/>
          <w:sz w:val="24"/>
          <w:szCs w:val="24"/>
        </w:rPr>
      </w:pPr>
      <w:r>
        <w:rPr>
          <w:rFonts w:hint="eastAsia" w:ascii="宋体" w:hAnsi="宋体" w:eastAsia="宋体" w:cs="宋体"/>
          <w:b w:val="0"/>
          <w:bCs w:val="0"/>
          <w:color w:val="000000"/>
          <w:sz w:val="24"/>
          <w:szCs w:val="24"/>
        </w:rPr>
        <w:t xml:space="preserve">企业名称</w:t>
      </w:r>
      <w:r>
        <w:rPr>
          <w:rFonts w:hint="eastAsia" w:ascii="宋体" w:hAnsi="宋体" w:eastAsia="宋体" w:cs="宋体"/>
          <w:b w:val="0"/>
          <w:bCs w:val="0"/>
          <w:color w:val="000000"/>
          <w:spacing w:val="2"/>
          <w:sz w:val="24"/>
          <w:szCs w:val="24"/>
        </w:rPr>
        <w:t xml:space="preserve">（</w:t>
      </w:r>
      <w:r>
        <w:rPr>
          <w:rFonts w:hint="eastAsia" w:ascii="宋体" w:hAnsi="宋体" w:eastAsia="宋体" w:cs="宋体"/>
          <w:b w:val="0"/>
          <w:bCs w:val="0"/>
          <w:color w:val="000000"/>
          <w:sz w:val="24"/>
          <w:szCs w:val="24"/>
        </w:rPr>
        <w:t xml:space="preserve">盖章</w:t>
      </w:r>
      <w:r>
        <w:rPr>
          <w:rFonts w:hint="eastAsia" w:ascii="宋体" w:hAnsi="宋体" w:eastAsia="宋体" w:cs="宋体"/>
          <w:b w:val="0"/>
          <w:bCs w:val="0"/>
          <w:color w:val="000000"/>
          <w:spacing w:val="-167"/>
          <w:sz w:val="24"/>
          <w:szCs w:val="24"/>
        </w:rPr>
        <w:t xml:space="preserve">）</w:t>
      </w:r>
      <w:r>
        <w:rPr>
          <w:rFonts w:hint="eastAsia" w:ascii="宋体" w:hAnsi="宋体" w:eastAsia="宋体" w:cs="宋体"/>
          <w:b w:val="0"/>
          <w:bCs w:val="0"/>
          <w:color w:val="000000"/>
          <w:spacing w:val="-8"/>
          <w:sz w:val="24"/>
          <w:szCs w:val="24"/>
        </w:rPr>
        <w:t xml:space="preserve">）：</w:t>
      </w:r>
      <w:r/>
    </w:p>
    <w:p>
      <w:pPr>
        <w:pStyle w:val="1217"/>
        <w:ind w:right="2166"/>
        <w:jc w:val="left"/>
        <w:pageBreakBefore w:val="0"/>
        <w:spacing w:line="360" w:lineRule="auto"/>
        <w:rPr>
          <w:rFonts w:hint="eastAsia" w:ascii="宋体" w:hAnsi="宋体" w:eastAsia="宋体" w:cs="宋体"/>
          <w:b w:val="0"/>
          <w:bCs w:val="0"/>
          <w:color w:val="000000"/>
          <w:spacing w:val="24"/>
          <w:sz w:val="24"/>
          <w:szCs w:val="24"/>
        </w:rPr>
      </w:pPr>
      <w:r>
        <w:rPr>
          <w:rFonts w:hint="eastAsia" w:ascii="宋体" w:hAnsi="宋体" w:eastAsia="宋体" w:cs="宋体"/>
          <w:b w:val="0"/>
          <w:bCs w:val="0"/>
          <w:color w:val="000000"/>
          <w:spacing w:val="24"/>
          <w:sz w:val="24"/>
          <w:szCs w:val="24"/>
        </w:rPr>
        <w:t xml:space="preserve">日期：</w:t>
      </w:r>
      <w:r/>
    </w:p>
    <w:p>
      <w:pPr>
        <w:pStyle w:val="1217"/>
        <w:ind w:left="4060" w:right="2166"/>
        <w:pageBreakBefore w:val="0"/>
        <w:spacing w:line="360" w:lineRule="auto"/>
        <w:rPr>
          <w:rFonts w:hint="eastAsia" w:ascii="宋体" w:hAnsi="宋体" w:eastAsia="宋体" w:cs="宋体"/>
          <w:b w:val="0"/>
          <w:bCs w:val="0"/>
          <w:color w:val="000000"/>
          <w:spacing w:val="24"/>
          <w:sz w:val="24"/>
          <w:szCs w:val="24"/>
        </w:rPr>
      </w:pPr>
      <w:r>
        <w:rPr>
          <w:rFonts w:hint="eastAsia" w:ascii="宋体" w:hAnsi="宋体" w:eastAsia="宋体" w:cs="宋体"/>
          <w:b w:val="0"/>
          <w:bCs w:val="0"/>
          <w:color w:val="000000"/>
          <w:spacing w:val="24"/>
          <w:sz w:val="24"/>
          <w:szCs w:val="24"/>
        </w:rPr>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注：1.从业人员、营业收入、资产总额填报上一年度数据，无上一年度数据的新成立企业可不填报。</w:t>
      </w:r>
      <w:r/>
    </w:p>
    <w:p>
      <w:pPr>
        <w:pStyle w:val="1218"/>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2.供应商如不提供此声明函，价格将不做相应扣除。</w:t>
      </w:r>
      <w:r/>
    </w:p>
    <w:p>
      <w:pPr>
        <w:pStyle w:val="122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ind w:firstLine="643"/>
        <w:jc w:val="center"/>
        <w:pageBreakBefore w:val="0"/>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残疾人福利性单位声明函</w:t>
      </w:r>
      <w:r/>
    </w:p>
    <w:p>
      <w:pPr>
        <w:ind w:firstLine="624"/>
        <w:pageBreakBefore w:val="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（备注：1、供应商如不提供此声明函，价格将不做相应扣除。2、中标供应商为残疾人福利单位的，此声明函将随中标结果同时公告，接受社会监督）</w:t>
      </w:r>
      <w:r/>
    </w:p>
    <w:p>
      <w:pPr>
        <w:ind w:firstLine="624"/>
        <w:pageBreakBefore w:val="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right="1560" w:firstLine="624"/>
        <w:jc w:val="center"/>
        <w:pageBreakBefore w:val="0"/>
        <w:spacing w:line="360" w:lineRule="auto"/>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             </w:t>
      </w:r>
      <w:r>
        <w:rPr>
          <w:rFonts w:hint="eastAsia" w:ascii="宋体" w:hAnsi="宋体" w:eastAsia="宋体" w:cs="宋体"/>
          <w:color w:val="000000"/>
          <w:sz w:val="24"/>
          <w:szCs w:val="24"/>
        </w:rPr>
        <w:t xml:space="preserve">             供应商全称（盖章）：</w:t>
      </w:r>
      <w:r/>
    </w:p>
    <w:p>
      <w:pPr>
        <w:ind w:right="1560" w:firstLine="480"/>
        <w:jc w:val="center"/>
        <w:pageBreakBefore w:val="0"/>
        <w:spacing w:line="360" w:lineRule="auto"/>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属于监狱企业的证明文件</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（提供由省级以上监狱管理局、戒毒管理局(含新疆生产建设兵团)出具的属于监狱企业的证明文件）</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2"/>
        <w:rPr>
          <w:rFonts w:hint="eastAsia"/>
        </w:rPr>
      </w:pPr>
      <w:r>
        <w:rPr>
          <w:rFonts w:hint="eastAsia"/>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r>
        <w:rPr>
          <w:rFonts w:hint="eastAsia" w:ascii="宋体" w:hAnsi="宋体" w:cs="宋体"/>
          <w:b/>
          <w:bCs/>
          <w:color w:val="000000"/>
          <w:sz w:val="30"/>
          <w:szCs w:val="30"/>
          <w:lang w:val="en-US" w:eastAsia="zh-CN"/>
        </w:rPr>
        <w:t xml:space="preserve">九</w:t>
      </w:r>
      <w:r>
        <w:rPr>
          <w:rFonts w:hint="eastAsia" w:ascii="宋体" w:hAnsi="宋体" w:eastAsia="宋体" w:cs="宋体"/>
          <w:b/>
          <w:bCs/>
          <w:color w:val="000000"/>
          <w:sz w:val="30"/>
          <w:szCs w:val="30"/>
        </w:rPr>
        <w:t xml:space="preserve">、技术偏离表</w:t>
      </w:r>
      <w:bookmarkEnd w:id="709"/>
      <w:r/>
      <w:bookmarkEnd w:id="710"/>
      <w:r/>
      <w:bookmarkEnd w:id="711"/>
      <w:r/>
      <w:bookmarkEnd w:id="712"/>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bl>
      <w:tblPr>
        <w:tblStyle w:val="907"/>
        <w:tblW w:w="86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trPr>
        <w:tc>
          <w:tcPr>
            <w:tcW w:w="93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招标要求</w:t>
            </w:r>
            <w:r/>
          </w:p>
        </w:tc>
        <w:tc>
          <w:tcPr>
            <w:tcW w:w="2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w:t>
            </w:r>
            <w:r/>
          </w:p>
        </w:tc>
        <w:tc>
          <w:tcPr>
            <w:tcW w:w="124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有无偏离</w:t>
            </w:r>
            <w:r/>
          </w:p>
        </w:tc>
        <w:tc>
          <w:tcPr>
            <w:tcW w:w="111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偏离内容及原因</w:t>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1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行数不够，可自行添加。</w:t>
      </w:r>
      <w:r/>
    </w:p>
    <w:p>
      <w:pPr>
        <w:pageBreakBefore w:val="0"/>
        <w:spacing w:line="360" w:lineRule="auto"/>
        <w:rPr>
          <w:rFonts w:hint="eastAsia" w:ascii="宋体" w:hAnsi="宋体" w:eastAsia="宋体" w:cs="宋体"/>
          <w:color w:val="000000"/>
          <w:sz w:val="24"/>
          <w:szCs w:val="24"/>
        </w:rPr>
        <w:sectPr>
          <w:footerReference w:type="default" r:id="rId11"/>
          <w:footnotePr/>
          <w:endnotePr/>
          <w:type w:val="nextPage"/>
          <w:pgSz w:w="11906" w:h="16838" w:orient="portrait"/>
          <w:pgMar w:top="1440" w:right="1800" w:bottom="1440" w:left="1800" w:header="851" w:footer="992" w:gutter="0"/>
          <w:pgNumType w:start="42"/>
          <w:cols w:num="1" w:sep="0" w:space="1701" w:equalWidth="1"/>
          <w:docGrid w:linePitch="360"/>
        </w:sectPr>
      </w:pPr>
      <w:r>
        <w:rPr>
          <w:rFonts w:hint="eastAsia" w:ascii="宋体" w:hAnsi="宋体" w:eastAsia="宋体" w:cs="宋体"/>
          <w:color w:val="000000"/>
          <w:sz w:val="24"/>
          <w:szCs w:val="24"/>
        </w:rPr>
      </w:r>
      <w:r/>
    </w:p>
    <w:p>
      <w:pPr>
        <w:pStyle w:val="1165"/>
        <w:ind w:left="0" w:firstLine="0"/>
        <w:jc w:val="center"/>
        <w:pageBreakBefore w:val="0"/>
        <w:spacing w:line="360" w:lineRule="auto"/>
        <w:rPr>
          <w:rFonts w:hint="eastAsia" w:ascii="宋体" w:hAnsi="宋体" w:eastAsia="宋体" w:cs="宋体"/>
          <w:color w:val="000000"/>
          <w:sz w:val="30"/>
          <w:szCs w:val="30"/>
        </w:rPr>
      </w:pPr>
      <w:r/>
      <w:bookmarkStart w:id="716" w:name="_Hlt26671374"/>
      <w:r/>
      <w:bookmarkEnd w:id="716"/>
      <w:r/>
      <w:bookmarkStart w:id="717" w:name="_格式3__银行出具的资信证明"/>
      <w:r/>
      <w:bookmarkEnd w:id="717"/>
      <w:r/>
      <w:bookmarkStart w:id="718" w:name="_Hlt26609389"/>
      <w:r/>
      <w:bookmarkEnd w:id="718"/>
      <w:r/>
      <w:bookmarkStart w:id="719" w:name="_Hlt26955066"/>
      <w:r/>
      <w:bookmarkEnd w:id="719"/>
      <w:r/>
      <w:bookmarkStart w:id="720" w:name="_Hlt26671380"/>
      <w:r/>
      <w:bookmarkEnd w:id="720"/>
      <w:r/>
      <w:bookmarkStart w:id="721" w:name="_Hlt26955054"/>
      <w:r/>
      <w:bookmarkEnd w:id="721"/>
      <w:r/>
      <w:bookmarkStart w:id="722" w:name="_Hlt26955070"/>
      <w:r/>
      <w:bookmarkEnd w:id="722"/>
      <w:r/>
      <w:bookmarkStart w:id="723" w:name="_Toc511899525"/>
      <w:r/>
      <w:bookmarkStart w:id="724" w:name="_Toc481072028"/>
      <w:r/>
      <w:bookmarkStart w:id="725" w:name="_Toc481071982"/>
      <w:r/>
      <w:bookmarkStart w:id="726" w:name="_Toc475009312"/>
      <w:r>
        <w:rPr>
          <w:rFonts w:hint="eastAsia" w:ascii="宋体" w:hAnsi="宋体" w:eastAsia="宋体" w:cs="宋体"/>
          <w:color w:val="000000"/>
          <w:sz w:val="30"/>
          <w:szCs w:val="30"/>
          <w:lang w:val="en-US" w:eastAsia="zh-CN"/>
        </w:rPr>
        <w:t xml:space="preserve">十</w:t>
      </w:r>
      <w:r>
        <w:rPr>
          <w:rFonts w:hint="eastAsia" w:ascii="宋体" w:hAnsi="宋体" w:eastAsia="宋体" w:cs="宋体"/>
          <w:color w:val="000000"/>
          <w:sz w:val="30"/>
          <w:szCs w:val="30"/>
        </w:rPr>
        <w:t xml:space="preserve">、商务偏离表</w:t>
      </w:r>
      <w:bookmarkEnd w:id="723"/>
      <w:r/>
      <w:bookmarkEnd w:id="724"/>
      <w:r/>
      <w:bookmarkEnd w:id="725"/>
      <w:r/>
      <w:bookmarkEnd w:id="726"/>
      <w:r/>
      <w:r/>
    </w:p>
    <w:tbl>
      <w:tblPr>
        <w:tblStyle w:val="907"/>
        <w:tblW w:w="8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668"/>
        <w:gridCol w:w="2063"/>
        <w:gridCol w:w="1404"/>
        <w:gridCol w:w="1521"/>
      </w:tblGrid>
      <w:tr>
        <w:trPr>
          <w:cantSplit/>
          <w:trHeight w:val="1601"/>
        </w:trPr>
        <w:tc>
          <w:tcPr>
            <w:tcW w:w="92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6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招标要求</w:t>
            </w:r>
            <w:r/>
          </w:p>
        </w:tc>
        <w:tc>
          <w:tcPr>
            <w:tcW w:w="206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w:t>
            </w:r>
            <w:r/>
          </w:p>
        </w:tc>
        <w:tc>
          <w:tcPr>
            <w:tcW w:w="140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有无偏离</w:t>
            </w:r>
            <w:r/>
          </w:p>
        </w:tc>
        <w:tc>
          <w:tcPr>
            <w:tcW w:w="1521"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偏离内容及原因</w:t>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73"/>
        </w:trPr>
        <w:tc>
          <w:tcPr>
            <w:tcW w:w="920"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908"/>
        <w:ind w:left="15" w:hanging="12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ind w:hanging="315"/>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p>
    <w:p>
      <w:pPr>
        <w:numPr>
          <w:ilvl w:val="0"/>
          <w:numId w:val="7"/>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行数不够，可自行添加。</w:t>
      </w:r>
      <w:r/>
    </w:p>
    <w:p>
      <w:pPr>
        <w:pStyle w:val="962"/>
        <w:numPr>
          <w:ilvl w:val="0"/>
          <w:numId w:val="7"/>
        </w:numPr>
        <w:rPr>
          <w:rFonts w:hint="eastAsia"/>
        </w:rPr>
        <w:sectPr>
          <w:footerReference w:type="default" r:id="rId12"/>
          <w:footnotePr/>
          <w:endnotePr/>
          <w:type w:val="nextPage"/>
          <w:pgSz w:w="11906" w:h="16838" w:orient="portrait"/>
          <w:pgMar w:top="1440" w:right="1800" w:bottom="1440" w:left="1800" w:header="851" w:footer="992" w:gutter="0"/>
          <w:pgNumType w:start="47"/>
          <w:cols w:num="1" w:sep="0" w:space="1701" w:equalWidth="1"/>
          <w:docGrid w:linePitch="360"/>
        </w:sectPr>
      </w:pPr>
      <w:r>
        <w:rPr>
          <w:rFonts w:hint="eastAsia"/>
        </w:rPr>
      </w:r>
      <w:r/>
    </w:p>
    <w:p>
      <w:pPr>
        <w:pStyle w:val="898"/>
        <w:ind w:right="-115"/>
        <w:jc w:val="center"/>
        <w:pageBreakBefore w:val="0"/>
        <w:spacing w:before="0" w:after="0" w:line="360" w:lineRule="auto"/>
        <w:rPr>
          <w:rFonts w:hint="eastAsia" w:ascii="宋体" w:hAnsi="宋体" w:eastAsia="宋体" w:cs="宋体"/>
          <w:color w:val="000000"/>
          <w:sz w:val="30"/>
          <w:szCs w:val="30"/>
        </w:rPr>
      </w:pPr>
      <w:r/>
      <w:bookmarkStart w:id="727" w:name="_Toc507754071"/>
      <w:r/>
      <w:bookmarkStart w:id="728" w:name="_Toc511899526"/>
      <w:r/>
      <w:bookmarkStart w:id="729" w:name="_Toc509830008"/>
      <w:r/>
      <w:bookmarkStart w:id="730" w:name="_Toc485999731"/>
      <w:r>
        <w:rPr>
          <w:rFonts w:hint="eastAsia" w:ascii="宋体" w:hAnsi="宋体" w:eastAsia="宋体" w:cs="宋体"/>
          <w:color w:val="000000"/>
          <w:sz w:val="30"/>
          <w:szCs w:val="30"/>
        </w:rPr>
        <w:t xml:space="preserve">十</w:t>
      </w:r>
      <w:r>
        <w:rPr>
          <w:rFonts w:hint="eastAsia" w:ascii="宋体" w:hAnsi="宋体" w:eastAsia="宋体" w:cs="宋体"/>
          <w:color w:val="000000"/>
          <w:sz w:val="30"/>
          <w:szCs w:val="30"/>
          <w:lang w:val="en-US" w:eastAsia="zh-CN"/>
        </w:rPr>
        <w:t xml:space="preserve">一</w:t>
      </w:r>
      <w:r>
        <w:rPr>
          <w:rFonts w:hint="eastAsia" w:ascii="宋体" w:hAnsi="宋体" w:eastAsia="宋体" w:cs="宋体"/>
          <w:color w:val="000000"/>
          <w:sz w:val="30"/>
          <w:szCs w:val="30"/>
        </w:rPr>
        <w:t xml:space="preserve">、企业业绩</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907"/>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实施时间</w:t>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业主联系人</w:t>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  注</w:t>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tcW w:w="797"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8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3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95"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90"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4"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注：1、请供应商提供上述表格中业绩的证明材料。</w:t>
      </w:r>
      <w:r/>
    </w:p>
    <w:p>
      <w:pPr>
        <w:ind w:firstLine="960"/>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如有需要说明的事项，请在备注中列明。</w:t>
      </w:r>
      <w:r/>
    </w:p>
    <w:p>
      <w:pPr>
        <w:ind w:firstLine="480"/>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ageBreakBefore w:val="0"/>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p>
    <w:p>
      <w:pPr>
        <w:jc w:val="center"/>
        <w:pageBreakBefore w:val="0"/>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pStyle w:val="962"/>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3"/>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4"/>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4"/>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4"/>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4"/>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4"/>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64"/>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65"/>
        <w:jc w:val="center"/>
        <w:spacing w:after="120" w:line="360" w:lineRule="auto"/>
        <w:rPr>
          <w:rFonts w:ascii="宋体" w:hAnsi="宋体" w:eastAsia="宋体" w:cs="宋体"/>
          <w:color w:val="000000"/>
          <w:szCs w:val="30"/>
          <w:highlight w:val="none"/>
        </w:rPr>
      </w:pPr>
      <w:r>
        <w:rPr>
          <w:rFonts w:hint="eastAsia" w:ascii="宋体" w:hAnsi="宋体" w:eastAsia="宋体" w:cs="宋体"/>
          <w:color w:val="000000"/>
          <w:szCs w:val="30"/>
          <w:highlight w:val="none"/>
          <w:lang w:val="en-US" w:eastAsia="zh-CN"/>
        </w:rPr>
        <w:t xml:space="preserve">十二、</w:t>
      </w:r>
      <w:r>
        <w:rPr>
          <w:rFonts w:hint="eastAsia" w:ascii="宋体" w:hAnsi="宋体" w:eastAsia="宋体" w:cs="宋体"/>
          <w:color w:val="000000"/>
          <w:sz w:val="24"/>
          <w:szCs w:val="24"/>
        </w:rPr>
        <w:t xml:space="preserve">拟投入人员配备一览表</w:t>
      </w:r>
      <w:r/>
    </w:p>
    <w:tbl>
      <w:tblPr>
        <w:tblStyle w:val="907"/>
        <w:tblW w:w="5464"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774"/>
        <w:gridCol w:w="1191"/>
        <w:gridCol w:w="809"/>
        <w:gridCol w:w="1320"/>
        <w:gridCol w:w="1560"/>
        <w:gridCol w:w="1515"/>
        <w:gridCol w:w="1289"/>
      </w:tblGrid>
      <w:tr>
        <w:trPr>
          <w:cantSplit/>
        </w:trPr>
        <w:tc>
          <w:tcPr>
            <w:tcW w:w="855"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职务</w:t>
            </w:r>
            <w:r/>
          </w:p>
        </w:tc>
        <w:tc>
          <w:tcPr>
            <w:tcW w:w="774"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1191"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身份证号</w:t>
            </w:r>
            <w:r/>
          </w:p>
        </w:tc>
        <w:tc>
          <w:tcPr>
            <w:tcW w:w="809" w:type="dxa"/>
            <w:vAlign w:val="center"/>
            <w:vMerge w:val="restart"/>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职称</w:t>
            </w:r>
            <w:r/>
          </w:p>
        </w:tc>
        <w:tc>
          <w:tcPr>
            <w:gridSpan w:val="4"/>
            <w:tcW w:w="5684"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执业或职业资格证明</w:t>
            </w:r>
            <w:r/>
          </w:p>
        </w:tc>
      </w:tr>
      <w:tr>
        <w:trPr>
          <w:cantSplit/>
        </w:trPr>
        <w:tc>
          <w:tcPr>
            <w:tcW w:w="855"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774"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1191"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809" w:type="dxa"/>
            <w:vAlign w:val="center"/>
            <w:vMerge w:val="continue"/>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c>
          <w:tcPr>
            <w:tcW w:w="1320"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证书名称</w:t>
            </w:r>
            <w:r/>
          </w:p>
        </w:tc>
        <w:tc>
          <w:tcPr>
            <w:tcW w:w="1560"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级别</w:t>
            </w:r>
            <w:r/>
          </w:p>
        </w:tc>
        <w:tc>
          <w:tcPr>
            <w:tcW w:w="1515"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证号</w:t>
            </w:r>
            <w:r/>
          </w:p>
        </w:tc>
        <w:tc>
          <w:tcPr>
            <w:tcW w:w="1289" w:type="dxa"/>
            <w:vAlign w:val="center"/>
            <w:textDirection w:val="lrTb"/>
            <w:noWrap w:val="false"/>
          </w:tcPr>
          <w:p>
            <w:pPr>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专业</w:t>
            </w:r>
            <w:r/>
          </w:p>
        </w:tc>
      </w:tr>
      <w:tr>
        <w:trPr/>
        <w:tc>
          <w:tcPr>
            <w:tcW w:w="855"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center"/>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85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774"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191"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80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32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60"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515"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tcW w:w="1289" w:type="dxa"/>
            <w:vAlign w:val="top"/>
            <w:textDirection w:val="lrTb"/>
            <w:noWrap w:val="false"/>
          </w:tcPr>
          <w:p>
            <w:pPr>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50"/>
        </w:trPr>
        <w:tc>
          <w:tcPr>
            <w:gridSpan w:val="8"/>
            <w:tcW w:w="9313" w:type="dxa"/>
            <w:vAlign w:val="top"/>
            <w:textDirection w:val="lrTb"/>
            <w:noWrap w:val="false"/>
          </w:tcPr>
          <w:p>
            <w:pPr>
              <w:spacing w:line="32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职务栏应填写</w:t>
            </w:r>
            <w:r>
              <w:rPr>
                <w:rFonts w:hint="eastAsia" w:ascii="宋体" w:hAnsi="宋体" w:cs="宋体"/>
                <w:color w:val="000000"/>
                <w:sz w:val="24"/>
                <w:szCs w:val="24"/>
                <w:highlight w:val="none"/>
              </w:rPr>
              <w:t xml:space="preserve">项目组成员相关职务</w:t>
            </w:r>
            <w:r>
              <w:rPr>
                <w:rFonts w:hint="eastAsia" w:ascii="宋体" w:hAnsi="宋体"/>
                <w:color w:val="000000"/>
                <w:sz w:val="24"/>
                <w:szCs w:val="24"/>
                <w:highlight w:val="none"/>
              </w:rPr>
              <w:t xml:space="preserve">信息。</w:t>
            </w:r>
            <w:r/>
          </w:p>
        </w:tc>
      </w:tr>
    </w:tbl>
    <w:p>
      <w:pPr>
        <w:pStyle w:val="1162"/>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2"/>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2"/>
        <w:ind w:firstLine="42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z w:val="24"/>
          <w:szCs w:val="24"/>
          <w:highlight w:val="none"/>
          <w:lang w:val="en-US"/>
        </w:rPr>
        <w:t xml:space="preserve">项目组成员</w:t>
      </w:r>
      <w:r>
        <w:rPr>
          <w:rFonts w:hint="eastAsia" w:ascii="宋体" w:hAnsi="宋体" w:eastAsia="宋体" w:cs="宋体"/>
          <w:color w:val="000000"/>
          <w:sz w:val="24"/>
          <w:szCs w:val="24"/>
          <w:highlight w:val="none"/>
        </w:rPr>
        <w:t xml:space="preserve">相关证书</w:t>
      </w:r>
      <w:r>
        <w:rPr>
          <w:rFonts w:hint="eastAsia" w:ascii="宋体" w:hAnsi="宋体" w:cs="宋体"/>
          <w:color w:val="000000"/>
          <w:sz w:val="24"/>
          <w:szCs w:val="24"/>
          <w:highlight w:val="none"/>
          <w:lang w:val="en-US" w:eastAsia="zh-CN"/>
        </w:rPr>
        <w:t xml:space="preserve">扫描件</w:t>
      </w:r>
      <w:r/>
    </w:p>
    <w:p>
      <w:pPr>
        <w:pStyle w:val="1162"/>
        <w:ind w:firstLine="420"/>
        <w:rPr>
          <w:color w:val="000000"/>
          <w:sz w:val="24"/>
          <w:szCs w:val="24"/>
          <w:highlight w:val="none"/>
        </w:rPr>
      </w:pPr>
      <w:r>
        <w:rPr>
          <w:color w:val="000000"/>
          <w:sz w:val="24"/>
          <w:szCs w:val="24"/>
          <w:highlight w:val="none"/>
        </w:rPr>
      </w:r>
      <w:r/>
    </w:p>
    <w:p>
      <w:pPr>
        <w:ind w:left="432"/>
        <w:spacing w:before="69" w:line="221" w:lineRule="auto"/>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供应商 (</w:t>
      </w:r>
      <w:r>
        <w:rPr>
          <w:rFonts w:hint="eastAsia" w:ascii="宋体" w:hAnsi="宋体" w:eastAsia="宋体" w:cs="宋体"/>
          <w:color w:val="000000"/>
          <w:sz w:val="24"/>
          <w:szCs w:val="24"/>
        </w:rPr>
        <w:t xml:space="preserve">加盖CA电子公章</w:t>
      </w:r>
      <w:r>
        <w:rPr>
          <w:rFonts w:hint="eastAsia" w:ascii="宋体" w:hAnsi="宋体" w:cs="宋体"/>
          <w:color w:val="000000"/>
          <w:spacing w:val="10"/>
          <w:sz w:val="24"/>
          <w:szCs w:val="24"/>
          <w:highlight w:val="none"/>
        </w:rPr>
        <w:t xml:space="preserve">)：</w:t>
      </w:r>
      <w:r/>
    </w:p>
    <w:p>
      <w:pPr>
        <w:ind w:left="432"/>
        <w:spacing w:before="69" w:line="221" w:lineRule="auto"/>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法定代表人或授权代表(签字或</w:t>
      </w:r>
      <w:r>
        <w:rPr>
          <w:rFonts w:hint="eastAsia" w:ascii="宋体" w:hAnsi="宋体" w:cs="宋体"/>
          <w:color w:val="000000"/>
          <w:spacing w:val="10"/>
          <w:sz w:val="24"/>
          <w:szCs w:val="24"/>
          <w:highlight w:val="none"/>
          <w:lang w:val="en-US" w:eastAsia="zh-CN"/>
        </w:rPr>
        <w:t xml:space="preserve">盖章</w:t>
      </w:r>
      <w:r>
        <w:rPr>
          <w:rFonts w:hint="eastAsia" w:ascii="宋体" w:hAnsi="宋体" w:cs="宋体"/>
          <w:color w:val="000000"/>
          <w:spacing w:val="10"/>
          <w:sz w:val="24"/>
          <w:szCs w:val="24"/>
          <w:highlight w:val="none"/>
        </w:rPr>
        <w:t xml:space="preserve">)：</w:t>
      </w:r>
      <w:r/>
    </w:p>
    <w:p>
      <w:pPr>
        <w:ind w:left="432"/>
        <w:spacing w:before="69" w:line="221" w:lineRule="auto"/>
        <w:rPr>
          <w:rFonts w:hint="eastAsia"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日期：   年  月  日</w:t>
      </w:r>
      <w:r/>
    </w:p>
    <w:p>
      <w:pPr>
        <w:pStyle w:val="964"/>
        <w:rPr>
          <w:rFonts w:hint="eastAsia" w:ascii="宋体" w:hAnsi="宋体" w:eastAsia="宋体" w:cs="宋体"/>
          <w:b/>
          <w:bCs/>
          <w:color w:val="000000"/>
          <w:sz w:val="24"/>
          <w:szCs w:val="24"/>
        </w:rPr>
        <w:sectPr>
          <w:footerReference w:type="default" r:id="rId13"/>
          <w:footnotePr/>
          <w:endnotePr/>
          <w:type w:val="nextPage"/>
          <w:pgSz w:w="11906" w:h="16838" w:orient="portrait"/>
          <w:pgMar w:top="1440" w:right="1800" w:bottom="1440" w:left="1800" w:header="851" w:footer="762" w:gutter="0"/>
          <w:pgNumType w:start="48"/>
          <w:cols w:num="1" w:sep="0" w:space="1701" w:equalWidth="1"/>
          <w:docGrid w:linePitch="360"/>
        </w:sectPr>
      </w:pPr>
      <w:r>
        <w:rPr>
          <w:rFonts w:hint="eastAsia" w:ascii="宋体" w:hAnsi="宋体" w:eastAsia="宋体" w:cs="宋体"/>
          <w:b/>
          <w:bCs/>
          <w:color w:val="000000"/>
          <w:sz w:val="24"/>
          <w:szCs w:val="24"/>
        </w:rPr>
      </w:r>
      <w:r/>
    </w:p>
    <w:p>
      <w:pPr>
        <w:ind w:firstLine="480"/>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十</w:t>
      </w:r>
      <w:r>
        <w:rPr>
          <w:rFonts w:hint="eastAsia" w:ascii="宋体" w:hAnsi="宋体" w:cs="宋体"/>
          <w:b/>
          <w:bCs/>
          <w:color w:val="000000"/>
          <w:sz w:val="30"/>
          <w:szCs w:val="30"/>
          <w:lang w:val="en-US" w:eastAsia="zh-CN"/>
        </w:rPr>
        <w:t xml:space="preserve">三</w:t>
      </w:r>
      <w:r>
        <w:rPr>
          <w:rFonts w:hint="eastAsia" w:ascii="宋体" w:hAnsi="宋体" w:eastAsia="宋体" w:cs="宋体"/>
          <w:b/>
          <w:bCs/>
          <w:color w:val="000000"/>
          <w:sz w:val="30"/>
          <w:szCs w:val="30"/>
        </w:rPr>
        <w:t xml:space="preserve">、</w:t>
      </w:r>
      <w:bookmarkEnd w:id="727"/>
      <w:r/>
      <w:bookmarkEnd w:id="728"/>
      <w:r/>
      <w:bookmarkEnd w:id="729"/>
      <w:r>
        <w:rPr>
          <w:rFonts w:hint="eastAsia" w:ascii="宋体" w:hAnsi="宋体" w:eastAsia="宋体" w:cs="宋体"/>
          <w:b/>
          <w:bCs/>
          <w:color w:val="000000"/>
          <w:sz w:val="30"/>
          <w:szCs w:val="30"/>
        </w:rPr>
        <w:t xml:space="preserve">技术方案</w:t>
      </w:r>
      <w:bookmarkEnd w:id="730"/>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bookmarkEnd w:id="695"/>
      <w:r/>
      <w:bookmarkEnd w:id="713"/>
      <w:r/>
      <w:bookmarkEnd w:id="714"/>
      <w:r/>
      <w:bookmarkEnd w:id="715"/>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pageBreakBefore w:val="0"/>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十</w:t>
      </w:r>
      <w:r>
        <w:rPr>
          <w:rFonts w:hint="eastAsia" w:ascii="宋体" w:hAnsi="宋体" w:cs="宋体"/>
          <w:b/>
          <w:bCs/>
          <w:color w:val="000000"/>
          <w:sz w:val="30"/>
          <w:szCs w:val="30"/>
          <w:lang w:val="en-US" w:eastAsia="zh-CN"/>
        </w:rPr>
        <w:t xml:space="preserve">四</w:t>
      </w:r>
      <w:r>
        <w:rPr>
          <w:rFonts w:hint="eastAsia" w:ascii="宋体" w:hAnsi="宋体" w:eastAsia="宋体" w:cs="宋体"/>
          <w:b/>
          <w:bCs/>
          <w:color w:val="000000"/>
          <w:sz w:val="30"/>
          <w:szCs w:val="30"/>
        </w:rPr>
        <w:t xml:space="preserve">、其他材料</w:t>
      </w:r>
      <w:r/>
    </w:p>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（磋商文件中要求提供的及供应商认为需要提供的其他材料）</w:t>
      </w:r>
      <w:r/>
    </w:p>
    <w:p>
      <w:pPr>
        <w:jc w:val="both"/>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sectPr>
      <w:footerReference w:type="default" r:id="rId14"/>
      <w:footnotePr/>
      <w:endnotePr/>
      <w:type w:val="nextPage"/>
      <w:pgSz w:w="11906" w:h="16838" w:orient="portrait"/>
      <w:pgMar w:top="1440" w:right="1800" w:bottom="1440" w:left="1800" w:header="851" w:footer="762" w:gutter="0"/>
      <w:pgNumType w:start="5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TimesNewRomanPSMT">
    <w:panose1 w:val="02020603050405020304"/>
  </w:font>
  <w:font w:name="方正黑体_GBK">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monospace">
    <w:panose1 w:val="020B0503020202020204"/>
  </w:font>
  <w:font w:name="Calisto MT">
    <w:panose1 w:val="020406030505050303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9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2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2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97">
    <w:name w:val="Heading 1"/>
    <w:basedOn w:val="896"/>
    <w:next w:val="896"/>
    <w:link w:val="999"/>
    <w:uiPriority w:val="0"/>
    <w:qFormat/>
    <w:pPr>
      <w:jc w:val="center"/>
      <w:keepNext/>
      <w:outlineLvl w:val="0"/>
    </w:pPr>
    <w:rPr>
      <w:rFonts w:ascii="楷体_GB2312" w:eastAsia="楷体_GB2312"/>
      <w:sz w:val="28"/>
      <w:szCs w:val="28"/>
    </w:rPr>
  </w:style>
  <w:style w:type="paragraph" w:styleId="898">
    <w:name w:val="Heading 2"/>
    <w:basedOn w:val="896"/>
    <w:next w:val="896"/>
    <w:link w:val="100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9">
    <w:name w:val="Heading 3"/>
    <w:basedOn w:val="896"/>
    <w:next w:val="896"/>
    <w:link w:val="1002"/>
    <w:uiPriority w:val="0"/>
    <w:qFormat/>
    <w:pPr>
      <w:keepLines/>
      <w:keepNext/>
      <w:spacing w:before="260" w:after="260" w:line="416" w:lineRule="auto"/>
      <w:outlineLvl w:val="2"/>
    </w:pPr>
    <w:rPr>
      <w:b/>
      <w:bCs/>
      <w:sz w:val="32"/>
      <w:szCs w:val="32"/>
    </w:rPr>
  </w:style>
  <w:style w:type="paragraph" w:styleId="900">
    <w:name w:val="Heading 4"/>
    <w:basedOn w:val="896"/>
    <w:next w:val="896"/>
    <w:link w:val="1318"/>
    <w:uiPriority w:val="0"/>
    <w:qFormat/>
    <w:pPr>
      <w:keepLines/>
      <w:keepNext/>
      <w:spacing w:before="280" w:after="290" w:line="376" w:lineRule="auto"/>
      <w:outlineLvl w:val="3"/>
    </w:pPr>
    <w:rPr>
      <w:rFonts w:ascii="Arial" w:hAnsi="Arial" w:eastAsia="黑体" w:cs="Arial"/>
      <w:b/>
      <w:bCs/>
      <w:sz w:val="28"/>
      <w:szCs w:val="28"/>
    </w:rPr>
  </w:style>
  <w:style w:type="paragraph" w:styleId="901">
    <w:name w:val="Heading 5"/>
    <w:basedOn w:val="896"/>
    <w:next w:val="908"/>
    <w:link w:val="1004"/>
    <w:uiPriority w:val="0"/>
    <w:qFormat/>
    <w:pPr>
      <w:keepNext/>
      <w:outlineLvl w:val="4"/>
    </w:pPr>
    <w:rPr>
      <w:rFonts w:ascii="宋体"/>
      <w:color w:val="000000"/>
      <w:sz w:val="28"/>
      <w:szCs w:val="28"/>
    </w:rPr>
  </w:style>
  <w:style w:type="paragraph" w:styleId="902">
    <w:name w:val="Heading 6"/>
    <w:basedOn w:val="896"/>
    <w:next w:val="896"/>
    <w:link w:val="100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3">
    <w:name w:val="Heading 7"/>
    <w:basedOn w:val="896"/>
    <w:next w:val="896"/>
    <w:link w:val="1006"/>
    <w:uiPriority w:val="0"/>
    <w:qFormat/>
    <w:pPr>
      <w:numPr>
        <w:ilvl w:val="6"/>
        <w:numId w:val="1"/>
      </w:numPr>
      <w:keepLines/>
      <w:keepNext/>
      <w:spacing w:before="240" w:after="64" w:line="320" w:lineRule="auto"/>
      <w:outlineLvl w:val="6"/>
    </w:pPr>
    <w:rPr>
      <w:b/>
      <w:bCs/>
      <w:sz w:val="24"/>
      <w:szCs w:val="24"/>
    </w:rPr>
  </w:style>
  <w:style w:type="paragraph" w:styleId="904">
    <w:name w:val="Heading 8"/>
    <w:basedOn w:val="896"/>
    <w:next w:val="896"/>
    <w:link w:val="100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5">
    <w:name w:val="Heading 9"/>
    <w:basedOn w:val="896"/>
    <w:next w:val="896"/>
    <w:link w:val="1008"/>
    <w:uiPriority w:val="0"/>
    <w:qFormat/>
    <w:pPr>
      <w:numPr>
        <w:ilvl w:val="8"/>
        <w:numId w:val="1"/>
      </w:numPr>
      <w:keepLines/>
      <w:keepNext/>
      <w:spacing w:before="240" w:after="64" w:line="320" w:lineRule="auto"/>
      <w:outlineLvl w:val="8"/>
    </w:pPr>
    <w:rPr>
      <w:rFonts w:ascii="Arial" w:hAnsi="Arial" w:eastAsia="黑体"/>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896"/>
    <w:link w:val="1001"/>
    <w:uiPriority w:val="0"/>
    <w:qFormat/>
    <w:pPr>
      <w:ind w:firstLine="420"/>
    </w:pPr>
    <w:rPr>
      <w:szCs w:val="21"/>
    </w:rPr>
  </w:style>
  <w:style w:type="paragraph" w:styleId="909">
    <w:name w:val="List 3"/>
    <w:basedOn w:val="896"/>
    <w:uiPriority w:val="0"/>
    <w:qFormat/>
    <w:pPr>
      <w:ind w:left="100" w:hanging="200"/>
    </w:pPr>
    <w:rPr>
      <w:szCs w:val="21"/>
    </w:rPr>
  </w:style>
  <w:style w:type="paragraph" w:styleId="910">
    <w:name w:val="toc 7"/>
    <w:basedOn w:val="896"/>
    <w:next w:val="896"/>
    <w:uiPriority w:val="39"/>
    <w:unhideWhenUsed/>
    <w:qFormat/>
    <w:pPr>
      <w:ind w:left="1701"/>
      <w:spacing w:after="57"/>
    </w:pPr>
  </w:style>
  <w:style w:type="paragraph" w:styleId="911">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2">
    <w:name w:val="Document Map"/>
    <w:basedOn w:val="896"/>
    <w:link w:val="1151"/>
    <w:uiPriority w:val="0"/>
    <w:qFormat/>
    <w:pPr>
      <w:shd w:val="clear" w:color="auto" w:fill="000080"/>
    </w:pPr>
    <w:rPr>
      <w:szCs w:val="21"/>
    </w:rPr>
  </w:style>
  <w:style w:type="paragraph" w:styleId="913">
    <w:name w:val="toa heading"/>
    <w:basedOn w:val="896"/>
    <w:next w:val="896"/>
    <w:uiPriority w:val="99"/>
    <w:unhideWhenUsed/>
    <w:qFormat/>
    <w:pPr>
      <w:spacing w:before="120"/>
    </w:pPr>
    <w:rPr>
      <w:rFonts w:ascii="等线 Light" w:hAnsi="等线 Light"/>
      <w:sz w:val="24"/>
    </w:rPr>
  </w:style>
  <w:style w:type="paragraph" w:styleId="914">
    <w:name w:val="annotation text"/>
    <w:basedOn w:val="896"/>
    <w:link w:val="1152"/>
    <w:uiPriority w:val="0"/>
    <w:qFormat/>
    <w:pPr>
      <w:jc w:val="left"/>
    </w:pPr>
  </w:style>
  <w:style w:type="paragraph" w:styleId="915">
    <w:name w:val="Body Text 3"/>
    <w:basedOn w:val="896"/>
    <w:link w:val="1153"/>
    <w:uiPriority w:val="0"/>
    <w:qFormat/>
    <w:rPr>
      <w:rFonts w:ascii="仿宋_GB2312" w:hAnsi="Arial" w:eastAsia="仿宋_GB2312"/>
      <w:sz w:val="32"/>
      <w:szCs w:val="32"/>
    </w:rPr>
  </w:style>
  <w:style w:type="paragraph" w:styleId="916">
    <w:name w:val="Body Text"/>
    <w:basedOn w:val="896"/>
    <w:link w:val="1154"/>
    <w:uiPriority w:val="0"/>
    <w:qFormat/>
    <w:rPr>
      <w:rFonts w:ascii="楷体_GB2312" w:hAnsi="Arial" w:eastAsia="楷体_GB2312"/>
      <w:sz w:val="28"/>
      <w:szCs w:val="28"/>
    </w:rPr>
  </w:style>
  <w:style w:type="paragraph" w:styleId="917">
    <w:name w:val="Body Text Indent"/>
    <w:basedOn w:val="896"/>
    <w:link w:val="1155"/>
    <w:uiPriority w:val="0"/>
    <w:qFormat/>
    <w:pPr>
      <w:ind w:left="420"/>
      <w:spacing w:after="120"/>
    </w:pPr>
    <w:rPr>
      <w:szCs w:val="21"/>
    </w:rPr>
  </w:style>
  <w:style w:type="paragraph" w:styleId="918">
    <w:name w:val="List 2"/>
    <w:basedOn w:val="896"/>
    <w:uiPriority w:val="0"/>
    <w:qFormat/>
    <w:pPr>
      <w:ind w:left="100" w:hanging="200"/>
    </w:pPr>
    <w:rPr>
      <w:szCs w:val="21"/>
    </w:rPr>
  </w:style>
  <w:style w:type="paragraph" w:styleId="919">
    <w:name w:val="Block Text"/>
    <w:basedOn w:val="896"/>
    <w:uiPriority w:val="99"/>
    <w:unhideWhenUsed/>
    <w:qFormat/>
    <w:rPr>
      <w:rFonts w:ascii="Calibri" w:hAnsi="Calibri" w:eastAsia="微软雅黑" w:cs="黑体"/>
      <w:szCs w:val="24"/>
    </w:rPr>
  </w:style>
  <w:style w:type="paragraph" w:styleId="920">
    <w:name w:val="toc 5"/>
    <w:basedOn w:val="896"/>
    <w:next w:val="896"/>
    <w:uiPriority w:val="39"/>
    <w:unhideWhenUsed/>
    <w:qFormat/>
    <w:pPr>
      <w:ind w:left="1134"/>
      <w:spacing w:after="57"/>
    </w:pPr>
  </w:style>
  <w:style w:type="paragraph" w:styleId="921">
    <w:name w:val="toc 3"/>
    <w:basedOn w:val="896"/>
    <w:next w:val="896"/>
    <w:uiPriority w:val="0"/>
    <w:qFormat/>
    <w:pPr>
      <w:ind w:left="420"/>
      <w:jc w:val="left"/>
    </w:pPr>
    <w:rPr>
      <w:rFonts w:ascii="Calibri" w:hAnsi="Calibri"/>
      <w:i/>
      <w:iCs/>
      <w:sz w:val="20"/>
    </w:rPr>
  </w:style>
  <w:style w:type="paragraph" w:styleId="922">
    <w:name w:val="Plain Text"/>
    <w:basedOn w:val="896"/>
    <w:next w:val="908"/>
    <w:link w:val="1156"/>
    <w:uiPriority w:val="0"/>
    <w:qFormat/>
    <w:rPr>
      <w:rFonts w:ascii="宋体" w:hAnsi="Courier New" w:cs="Courier New"/>
      <w:sz w:val="20"/>
      <w:szCs w:val="21"/>
    </w:rPr>
  </w:style>
  <w:style w:type="paragraph" w:styleId="923">
    <w:name w:val="toc 8"/>
    <w:basedOn w:val="896"/>
    <w:next w:val="896"/>
    <w:uiPriority w:val="39"/>
    <w:unhideWhenUsed/>
    <w:qFormat/>
    <w:pPr>
      <w:ind w:left="1984"/>
      <w:spacing w:after="57"/>
    </w:pPr>
  </w:style>
  <w:style w:type="paragraph" w:styleId="924">
    <w:name w:val="Date"/>
    <w:basedOn w:val="896"/>
    <w:next w:val="896"/>
    <w:link w:val="1157"/>
    <w:uiPriority w:val="0"/>
    <w:qFormat/>
    <w:rPr>
      <w:sz w:val="24"/>
      <w:szCs w:val="24"/>
    </w:rPr>
  </w:style>
  <w:style w:type="paragraph" w:styleId="925">
    <w:name w:val="Body Text Indent 2"/>
    <w:basedOn w:val="896"/>
    <w:link w:val="1158"/>
    <w:uiPriority w:val="0"/>
    <w:qFormat/>
    <w:pPr>
      <w:ind w:left="630" w:firstLine="645"/>
    </w:pPr>
    <w:rPr>
      <w:rFonts w:ascii="Arial" w:hAnsi="Arial" w:eastAsia="仿宋_GB2312" w:cs="Arial"/>
      <w:sz w:val="32"/>
      <w:szCs w:val="32"/>
    </w:rPr>
  </w:style>
  <w:style w:type="paragraph" w:styleId="926">
    <w:name w:val="endnote text"/>
    <w:basedOn w:val="896"/>
    <w:link w:val="1149"/>
    <w:uiPriority w:val="0"/>
    <w:unhideWhenUsed/>
    <w:qFormat/>
    <w:rPr>
      <w:sz w:val="20"/>
    </w:rPr>
  </w:style>
  <w:style w:type="paragraph" w:styleId="927">
    <w:name w:val="Balloon Text"/>
    <w:basedOn w:val="896"/>
    <w:link w:val="1223"/>
    <w:uiPriority w:val="0"/>
    <w:unhideWhenUsed/>
    <w:qFormat/>
    <w:rPr>
      <w:sz w:val="18"/>
      <w:szCs w:val="18"/>
    </w:rPr>
  </w:style>
  <w:style w:type="paragraph" w:styleId="928">
    <w:name w:val="Footer"/>
    <w:basedOn w:val="896"/>
    <w:link w:val="1020"/>
    <w:uiPriority w:val="0"/>
    <w:qFormat/>
    <w:pPr>
      <w:jc w:val="left"/>
      <w:tabs>
        <w:tab w:val="center" w:pos="4153" w:leader="none"/>
        <w:tab w:val="right" w:pos="8306" w:leader="none"/>
      </w:tabs>
    </w:pPr>
    <w:rPr>
      <w:sz w:val="18"/>
    </w:rPr>
  </w:style>
  <w:style w:type="paragraph" w:styleId="929">
    <w:name w:val="envelope return"/>
    <w:basedOn w:val="896"/>
    <w:uiPriority w:val="0"/>
    <w:qFormat/>
    <w:rPr>
      <w:rFonts w:ascii="Arial" w:hAnsi="Arial"/>
    </w:rPr>
  </w:style>
  <w:style w:type="paragraph" w:styleId="930">
    <w:name w:val="Header"/>
    <w:basedOn w:val="896"/>
    <w:link w:val="1019"/>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31">
    <w:name w:val="toc 1"/>
    <w:basedOn w:val="896"/>
    <w:next w:val="896"/>
    <w:uiPriority w:val="0"/>
    <w:qFormat/>
    <w:pPr>
      <w:jc w:val="left"/>
      <w:spacing w:before="120" w:after="120"/>
    </w:pPr>
    <w:rPr>
      <w:rFonts w:ascii="Calibri" w:hAnsi="Calibri"/>
      <w:b/>
      <w:bCs/>
      <w:caps/>
      <w:sz w:val="20"/>
    </w:rPr>
  </w:style>
  <w:style w:type="paragraph" w:styleId="932">
    <w:name w:val="toc 4"/>
    <w:basedOn w:val="896"/>
    <w:next w:val="896"/>
    <w:uiPriority w:val="39"/>
    <w:unhideWhenUsed/>
    <w:qFormat/>
    <w:pPr>
      <w:ind w:left="850"/>
      <w:spacing w:after="57"/>
    </w:pPr>
  </w:style>
  <w:style w:type="paragraph" w:styleId="933">
    <w:name w:val="Subtitle"/>
    <w:basedOn w:val="896"/>
    <w:next w:val="896"/>
    <w:link w:val="1014"/>
    <w:uiPriority w:val="11"/>
    <w:qFormat/>
    <w:pPr>
      <w:spacing w:before="200" w:after="200"/>
    </w:pPr>
    <w:rPr>
      <w:sz w:val="24"/>
      <w:szCs w:val="24"/>
    </w:rPr>
  </w:style>
  <w:style w:type="paragraph" w:styleId="934">
    <w:name w:val="List"/>
    <w:basedOn w:val="896"/>
    <w:uiPriority w:val="0"/>
    <w:qFormat/>
    <w:pPr>
      <w:ind w:left="200" w:hanging="200"/>
    </w:pPr>
    <w:rPr>
      <w:szCs w:val="21"/>
    </w:rPr>
  </w:style>
  <w:style w:type="paragraph" w:styleId="935">
    <w:name w:val="footnote text"/>
    <w:basedOn w:val="896"/>
    <w:link w:val="1148"/>
    <w:uiPriority w:val="99"/>
    <w:semiHidden/>
    <w:unhideWhenUsed/>
    <w:qFormat/>
    <w:pPr>
      <w:spacing w:after="40"/>
    </w:pPr>
    <w:rPr>
      <w:sz w:val="18"/>
    </w:rPr>
  </w:style>
  <w:style w:type="paragraph" w:styleId="936">
    <w:name w:val="toc 6"/>
    <w:basedOn w:val="896"/>
    <w:next w:val="896"/>
    <w:uiPriority w:val="39"/>
    <w:unhideWhenUsed/>
    <w:qFormat/>
    <w:pPr>
      <w:ind w:left="1417"/>
      <w:spacing w:after="57"/>
    </w:pPr>
  </w:style>
  <w:style w:type="paragraph" w:styleId="937">
    <w:name w:val="Body Text Indent 3"/>
    <w:basedOn w:val="896"/>
    <w:uiPriority w:val="0"/>
    <w:qFormat/>
    <w:pPr>
      <w:ind w:left="645" w:firstLine="645"/>
    </w:pPr>
    <w:rPr>
      <w:rFonts w:ascii="Arial" w:hAnsi="Arial" w:eastAsia="仿宋_GB2312" w:cs="Arial"/>
      <w:color w:val="ffff00"/>
      <w:sz w:val="32"/>
      <w:szCs w:val="32"/>
    </w:rPr>
  </w:style>
  <w:style w:type="paragraph" w:styleId="938">
    <w:name w:val="table of figures"/>
    <w:basedOn w:val="896"/>
    <w:next w:val="896"/>
    <w:uiPriority w:val="99"/>
    <w:unhideWhenUsed/>
    <w:qFormat/>
  </w:style>
  <w:style w:type="paragraph" w:styleId="939">
    <w:name w:val="toc 2"/>
    <w:basedOn w:val="896"/>
    <w:next w:val="896"/>
    <w:uiPriority w:val="0"/>
    <w:qFormat/>
    <w:pPr>
      <w:ind w:left="210"/>
      <w:jc w:val="left"/>
    </w:pPr>
    <w:rPr>
      <w:rFonts w:ascii="Calibri" w:hAnsi="Calibri"/>
      <w:smallCaps/>
      <w:sz w:val="20"/>
    </w:rPr>
  </w:style>
  <w:style w:type="paragraph" w:styleId="940">
    <w:name w:val="toc 9"/>
    <w:basedOn w:val="896"/>
    <w:next w:val="896"/>
    <w:uiPriority w:val="39"/>
    <w:qFormat/>
    <w:pPr>
      <w:ind w:left="1680"/>
      <w:jc w:val="left"/>
    </w:pPr>
    <w:rPr>
      <w:sz w:val="18"/>
    </w:rPr>
  </w:style>
  <w:style w:type="paragraph" w:styleId="941">
    <w:name w:val="Body Text 2"/>
    <w:basedOn w:val="896"/>
    <w:link w:val="1159"/>
    <w:uiPriority w:val="0"/>
    <w:qFormat/>
    <w:pPr>
      <w:jc w:val="center"/>
      <w:widowControl/>
    </w:pPr>
    <w:rPr>
      <w:rFonts w:ascii="楷体_GB2312" w:eastAsia="楷体_GB2312"/>
      <w:sz w:val="28"/>
      <w:szCs w:val="28"/>
    </w:rPr>
  </w:style>
  <w:style w:type="paragraph" w:styleId="942">
    <w:name w:val="HTML Preformatted"/>
    <w:basedOn w:val="8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cs="Arial"/>
      <w:sz w:val="24"/>
      <w:szCs w:val="24"/>
    </w:rPr>
  </w:style>
  <w:style w:type="paragraph" w:styleId="943">
    <w:name w:val="Normal (Web)"/>
    <w:basedOn w:val="896"/>
    <w:uiPriority w:val="0"/>
    <w:qFormat/>
    <w:pPr>
      <w:jc w:val="left"/>
      <w:spacing w:before="100" w:beforeAutospacing="1" w:after="100" w:afterAutospacing="1"/>
      <w:widowControl/>
    </w:pPr>
    <w:rPr>
      <w:rFonts w:ascii="宋体" w:hAnsi="宋体" w:cs="宋体"/>
      <w:sz w:val="24"/>
      <w:szCs w:val="24"/>
    </w:rPr>
  </w:style>
  <w:style w:type="paragraph" w:styleId="944">
    <w:name w:val="index 1"/>
    <w:basedOn w:val="896"/>
    <w:next w:val="896"/>
    <w:uiPriority w:val="0"/>
    <w:qFormat/>
    <w:pPr>
      <w:spacing w:line="240" w:lineRule="atLeast"/>
    </w:pPr>
    <w:rPr>
      <w:b/>
      <w:bCs/>
      <w:szCs w:val="21"/>
    </w:rPr>
  </w:style>
  <w:style w:type="paragraph" w:styleId="945">
    <w:name w:val="Title"/>
    <w:basedOn w:val="896"/>
    <w:next w:val="896"/>
    <w:link w:val="1013"/>
    <w:uiPriority w:val="10"/>
    <w:qFormat/>
    <w:pPr>
      <w:jc w:val="center"/>
      <w:spacing w:before="240" w:after="60"/>
      <w:outlineLvl w:val="0"/>
    </w:pPr>
    <w:rPr>
      <w:rFonts w:ascii="Arial" w:hAnsi="Arial" w:cs="Arial"/>
      <w:b/>
      <w:bCs/>
      <w:sz w:val="32"/>
      <w:szCs w:val="32"/>
    </w:rPr>
  </w:style>
  <w:style w:type="paragraph" w:styleId="946">
    <w:name w:val="annotation subject"/>
    <w:basedOn w:val="914"/>
    <w:next w:val="914"/>
    <w:link w:val="1224"/>
    <w:uiPriority w:val="99"/>
    <w:qFormat/>
    <w:rPr>
      <w:rFonts w:ascii="Calibri" w:hAnsi="Calibri"/>
      <w:b/>
      <w:bCs/>
      <w:szCs w:val="22"/>
    </w:rPr>
  </w:style>
  <w:style w:type="paragraph" w:styleId="947">
    <w:name w:val="Body Text First Indent"/>
    <w:basedOn w:val="916"/>
    <w:next w:val="896"/>
    <w:link w:val="1160"/>
    <w:uiPriority w:val="0"/>
    <w:qFormat/>
    <w:pPr>
      <w:ind w:firstLine="200"/>
      <w:spacing w:line="360" w:lineRule="auto"/>
    </w:pPr>
    <w:rPr>
      <w:rFonts w:ascii="仿宋_GB2312" w:eastAsia="仿宋_GB2312"/>
      <w:sz w:val="30"/>
      <w:szCs w:val="30"/>
    </w:rPr>
  </w:style>
  <w:style w:type="paragraph" w:styleId="948">
    <w:name w:val="Body Text First Indent 2"/>
    <w:basedOn w:val="917"/>
    <w:uiPriority w:val="0"/>
    <w:qFormat/>
    <w:pPr>
      <w:ind w:left="0" w:firstLine="420"/>
      <w:spacing w:after="0" w:line="360" w:lineRule="auto"/>
    </w:pPr>
    <w:rPr>
      <w:rFonts w:ascii="宋体" w:hAnsi="宋体"/>
      <w:szCs w:val="20"/>
    </w:rPr>
  </w:style>
  <w:style w:type="table" w:styleId="949">
    <w:name w:val="Table Grid"/>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0"/>
    <w:qFormat/>
    <w:rPr>
      <w:b/>
      <w:bCs/>
    </w:rPr>
  </w:style>
  <w:style w:type="character" w:styleId="951">
    <w:name w:val="endnote reference"/>
    <w:uiPriority w:val="99"/>
    <w:semiHidden/>
    <w:unhideWhenUsed/>
    <w:qFormat/>
    <w:rPr>
      <w:vertAlign w:val="superscript"/>
    </w:rPr>
  </w:style>
  <w:style w:type="character" w:styleId="952">
    <w:name w:val="page number"/>
    <w:uiPriority w:val="0"/>
    <w:qFormat/>
  </w:style>
  <w:style w:type="character" w:styleId="953">
    <w:name w:val="FollowedHyperlink"/>
    <w:uiPriority w:val="99"/>
    <w:unhideWhenUsed/>
    <w:qFormat/>
    <w:rPr>
      <w:color w:val="800080"/>
      <w:u w:val="single"/>
    </w:rPr>
  </w:style>
  <w:style w:type="character" w:styleId="954">
    <w:name w:val="HTML Typewriter"/>
    <w:basedOn w:val="906"/>
    <w:uiPriority w:val="0"/>
    <w:qFormat/>
    <w:rPr>
      <w:rFonts w:ascii="monospace" w:hAnsi="monospace" w:eastAsia="monospace" w:cs="monospace"/>
      <w:sz w:val="20"/>
    </w:rPr>
  </w:style>
  <w:style w:type="character" w:styleId="955">
    <w:name w:val="HTML Acronym"/>
    <w:basedOn w:val="906"/>
    <w:uiPriority w:val="0"/>
    <w:qFormat/>
  </w:style>
  <w:style w:type="character" w:styleId="956">
    <w:name w:val="Hyperlink"/>
    <w:basedOn w:val="906"/>
    <w:uiPriority w:val="99"/>
    <w:qFormat/>
    <w:rPr>
      <w:color w:val="0000ff"/>
      <w:u w:val="none"/>
    </w:rPr>
  </w:style>
  <w:style w:type="character" w:styleId="957">
    <w:name w:val="HTML Code"/>
    <w:basedOn w:val="906"/>
    <w:uiPriority w:val="0"/>
    <w:qFormat/>
    <w:rPr>
      <w:rFonts w:ascii="monospace" w:hAnsi="monospace" w:eastAsia="monospace" w:cs="monospace"/>
      <w:sz w:val="20"/>
    </w:rPr>
  </w:style>
  <w:style w:type="character" w:styleId="958">
    <w:name w:val="annotation reference"/>
    <w:uiPriority w:val="0"/>
    <w:qFormat/>
    <w:rPr>
      <w:sz w:val="21"/>
      <w:szCs w:val="21"/>
    </w:rPr>
  </w:style>
  <w:style w:type="character" w:styleId="959">
    <w:name w:val="footnote reference"/>
    <w:uiPriority w:val="99"/>
    <w:unhideWhenUsed/>
    <w:qFormat/>
    <w:rPr>
      <w:vertAlign w:val="superscript"/>
    </w:rPr>
  </w:style>
  <w:style w:type="character" w:styleId="960">
    <w:name w:val="HTML Keyboard"/>
    <w:basedOn w:val="906"/>
    <w:uiPriority w:val="0"/>
    <w:qFormat/>
    <w:rPr>
      <w:rFonts w:ascii="monospace" w:hAnsi="monospace" w:eastAsia="monospace" w:cs="monospace"/>
      <w:sz w:val="20"/>
    </w:rPr>
  </w:style>
  <w:style w:type="character" w:styleId="961">
    <w:name w:val="HTML Sample"/>
    <w:basedOn w:val="906"/>
    <w:uiPriority w:val="0"/>
    <w:qFormat/>
    <w:rPr>
      <w:rFonts w:ascii="monospace" w:hAnsi="monospace" w:eastAsia="monospace" w:cs="monospace"/>
    </w:rPr>
  </w:style>
  <w:style w:type="paragraph" w:styleId="962" w:customStyle="1">
    <w:name w:val="表格文字"/>
    <w:basedOn w:val="896"/>
    <w:next w:val="916"/>
    <w:uiPriority w:val="0"/>
    <w:qFormat/>
    <w:pPr>
      <w:jc w:val="left"/>
      <w:spacing w:line="420" w:lineRule="atLeast"/>
    </w:pPr>
    <w:rPr>
      <w:rFonts w:ascii="Times New Roman" w:hAnsi="Times New Roman"/>
      <w:szCs w:val="20"/>
    </w:rPr>
  </w:style>
  <w:style w:type="paragraph" w:styleId="963" w:customStyle="1">
    <w:name w:val="正文文本11"/>
    <w:basedOn w:val="896"/>
    <w:next w:val="964"/>
    <w:uiPriority w:val="99"/>
    <w:qFormat/>
    <w:rPr>
      <w:rFonts w:ascii="楷体_GB2312" w:hAnsi="Arial" w:eastAsia="楷体_GB2312"/>
      <w:sz w:val="28"/>
      <w:szCs w:val="20"/>
    </w:rPr>
  </w:style>
  <w:style w:type="paragraph" w:styleId="964" w:customStyle="1">
    <w:name w:val="正文文本 211"/>
    <w:basedOn w:val="896"/>
    <w:uiPriority w:val="0"/>
    <w:qFormat/>
    <w:pPr>
      <w:jc w:val="center"/>
    </w:pPr>
    <w:rPr>
      <w:rFonts w:ascii="仿宋_GB2312" w:hAnsi="Times New Roman" w:eastAsia="仿宋_GB2312"/>
      <w:sz w:val="44"/>
    </w:rPr>
  </w:style>
  <w:style w:type="paragraph" w:styleId="965" w:customStyle="1">
    <w:name w:val="段"/>
    <w:next w:val="896"/>
    <w:uiPriority w:val="0"/>
    <w:qFormat/>
    <w:pPr>
      <w:ind w:firstLine="200"/>
      <w:jc w:val="both"/>
    </w:pPr>
    <w:rPr>
      <w:rFonts w:hint="default" w:ascii="宋体" w:hAnsi="Times New Roman" w:eastAsia="宋体" w:cs="Times New Roman"/>
      <w:sz w:val="21"/>
      <w:lang w:val="en-US" w:eastAsia="zh-CN" w:bidi="ar-SA"/>
    </w:rPr>
  </w:style>
  <w:style w:type="character" w:styleId="966" w:customStyle="1">
    <w:name w:val="Heading 1 Char"/>
    <w:basedOn w:val="906"/>
    <w:uiPriority w:val="9"/>
    <w:qFormat/>
    <w:rPr>
      <w:rFonts w:ascii="Arial" w:hAnsi="Arial" w:eastAsia="Arial" w:cs="Arial"/>
      <w:sz w:val="40"/>
      <w:szCs w:val="40"/>
    </w:rPr>
  </w:style>
  <w:style w:type="character" w:styleId="967" w:customStyle="1">
    <w:name w:val="Heading 4 Char"/>
    <w:basedOn w:val="906"/>
    <w:uiPriority w:val="9"/>
    <w:qFormat/>
    <w:rPr>
      <w:rFonts w:ascii="Arial" w:hAnsi="Arial" w:eastAsia="Arial" w:cs="Arial"/>
      <w:b/>
      <w:bCs/>
      <w:sz w:val="26"/>
      <w:szCs w:val="26"/>
    </w:rPr>
  </w:style>
  <w:style w:type="character" w:styleId="968" w:customStyle="1">
    <w:name w:val="Heading 5 Char"/>
    <w:basedOn w:val="906"/>
    <w:uiPriority w:val="9"/>
    <w:qFormat/>
    <w:rPr>
      <w:rFonts w:ascii="Arial" w:hAnsi="Arial" w:eastAsia="Arial" w:cs="Arial"/>
      <w:b/>
      <w:bCs/>
      <w:sz w:val="24"/>
      <w:szCs w:val="24"/>
    </w:rPr>
  </w:style>
  <w:style w:type="character" w:styleId="969" w:customStyle="1">
    <w:name w:val="Heading 6 Char"/>
    <w:basedOn w:val="906"/>
    <w:uiPriority w:val="9"/>
    <w:qFormat/>
    <w:rPr>
      <w:rFonts w:ascii="Arial" w:hAnsi="Arial" w:eastAsia="Arial" w:cs="Arial"/>
      <w:b/>
      <w:bCs/>
      <w:sz w:val="22"/>
      <w:szCs w:val="22"/>
    </w:rPr>
  </w:style>
  <w:style w:type="character" w:styleId="970" w:customStyle="1">
    <w:name w:val="Heading 7 Char"/>
    <w:basedOn w:val="906"/>
    <w:uiPriority w:val="9"/>
    <w:qFormat/>
    <w:rPr>
      <w:rFonts w:ascii="Arial" w:hAnsi="Arial" w:eastAsia="Arial" w:cs="Arial"/>
      <w:b/>
      <w:bCs/>
      <w:i/>
      <w:iCs/>
      <w:sz w:val="22"/>
      <w:szCs w:val="22"/>
    </w:rPr>
  </w:style>
  <w:style w:type="character" w:styleId="971" w:customStyle="1">
    <w:name w:val="Heading 8 Char"/>
    <w:basedOn w:val="906"/>
    <w:uiPriority w:val="9"/>
    <w:qFormat/>
    <w:rPr>
      <w:rFonts w:ascii="Arial" w:hAnsi="Arial" w:eastAsia="Arial" w:cs="Arial"/>
      <w:i/>
      <w:iCs/>
      <w:sz w:val="22"/>
      <w:szCs w:val="22"/>
    </w:rPr>
  </w:style>
  <w:style w:type="character" w:styleId="972" w:customStyle="1">
    <w:name w:val="Heading 9 Char"/>
    <w:basedOn w:val="906"/>
    <w:uiPriority w:val="9"/>
    <w:qFormat/>
    <w:rPr>
      <w:rFonts w:ascii="Arial" w:hAnsi="Arial" w:eastAsia="Arial" w:cs="Arial"/>
      <w:i/>
      <w:iCs/>
      <w:sz w:val="21"/>
      <w:szCs w:val="21"/>
    </w:rPr>
  </w:style>
  <w:style w:type="character" w:styleId="973" w:customStyle="1">
    <w:name w:val="Title Char"/>
    <w:basedOn w:val="906"/>
    <w:uiPriority w:val="10"/>
    <w:qFormat/>
    <w:rPr>
      <w:sz w:val="48"/>
      <w:szCs w:val="48"/>
    </w:rPr>
  </w:style>
  <w:style w:type="character" w:styleId="974" w:customStyle="1">
    <w:name w:val="Subtitle Char"/>
    <w:basedOn w:val="906"/>
    <w:uiPriority w:val="11"/>
    <w:qFormat/>
    <w:rPr>
      <w:sz w:val="24"/>
      <w:szCs w:val="24"/>
    </w:rPr>
  </w:style>
  <w:style w:type="character" w:styleId="975" w:customStyle="1">
    <w:name w:val="Quote Char"/>
    <w:uiPriority w:val="29"/>
    <w:qFormat/>
    <w:rPr>
      <w:i/>
    </w:rPr>
  </w:style>
  <w:style w:type="character" w:styleId="976" w:customStyle="1">
    <w:name w:val="Intense Quote Char"/>
    <w:uiPriority w:val="30"/>
    <w:qFormat/>
    <w:rPr>
      <w:i/>
    </w:rPr>
  </w:style>
  <w:style w:type="character" w:styleId="977" w:customStyle="1">
    <w:name w:val="Header Char"/>
    <w:basedOn w:val="906"/>
    <w:uiPriority w:val="99"/>
    <w:qFormat/>
  </w:style>
  <w:style w:type="table" w:styleId="978"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4"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character" w:styleId="999" w:customStyle="1">
    <w:name w:val="标题 1 字符"/>
    <w:link w:val="897"/>
    <w:uiPriority w:val="0"/>
    <w:qFormat/>
    <w:rPr>
      <w:rFonts w:ascii="Arial" w:hAnsi="Arial" w:eastAsia="Arial" w:cs="Arial"/>
      <w:sz w:val="40"/>
      <w:szCs w:val="40"/>
    </w:rPr>
  </w:style>
  <w:style w:type="character" w:styleId="1000" w:customStyle="1">
    <w:name w:val="标题 2 字符"/>
    <w:link w:val="898"/>
    <w:uiPriority w:val="0"/>
    <w:qFormat/>
    <w:rPr>
      <w:rFonts w:ascii="Arial" w:hAnsi="Arial" w:eastAsia="幼圆" w:cs="Arial"/>
      <w:b/>
      <w:bCs/>
      <w:sz w:val="44"/>
      <w:szCs w:val="44"/>
      <w:lang w:val="en-US" w:eastAsia="zh-CN" w:bidi="ar-SA"/>
    </w:rPr>
  </w:style>
  <w:style w:type="character" w:styleId="1001" w:customStyle="1">
    <w:name w:val="正文缩进 字符"/>
    <w:link w:val="908"/>
    <w:uiPriority w:val="0"/>
    <w:qFormat/>
    <w:rPr>
      <w:rFonts w:eastAsia="宋体"/>
      <w:sz w:val="21"/>
      <w:szCs w:val="21"/>
      <w:lang w:val="en-US" w:eastAsia="zh-CN" w:bidi="ar-SA"/>
    </w:rPr>
  </w:style>
  <w:style w:type="character" w:styleId="1002" w:customStyle="1">
    <w:name w:val="标题 3 字符"/>
    <w:link w:val="899"/>
    <w:uiPriority w:val="0"/>
    <w:qFormat/>
    <w:rPr>
      <w:rFonts w:eastAsia="宋体"/>
      <w:b/>
      <w:bCs/>
      <w:sz w:val="32"/>
      <w:szCs w:val="32"/>
      <w:lang w:val="en-US" w:eastAsia="zh-CN" w:bidi="ar-SA"/>
    </w:rPr>
  </w:style>
  <w:style w:type="character" w:styleId="1003" w:customStyle="1">
    <w:name w:val="标题 4 字符"/>
    <w:link w:val="900"/>
    <w:uiPriority w:val="0"/>
    <w:qFormat/>
    <w:rPr>
      <w:rFonts w:ascii="Arial" w:hAnsi="Arial" w:eastAsia="Arial" w:cs="Arial"/>
      <w:b/>
      <w:bCs/>
      <w:sz w:val="26"/>
      <w:szCs w:val="26"/>
    </w:rPr>
  </w:style>
  <w:style w:type="character" w:styleId="1004" w:customStyle="1">
    <w:name w:val="标题 5 字符"/>
    <w:link w:val="901"/>
    <w:uiPriority w:val="0"/>
    <w:qFormat/>
    <w:rPr>
      <w:rFonts w:ascii="Arial" w:hAnsi="Arial" w:eastAsia="Arial" w:cs="Arial"/>
      <w:b/>
      <w:bCs/>
      <w:sz w:val="24"/>
      <w:szCs w:val="24"/>
    </w:rPr>
  </w:style>
  <w:style w:type="character" w:styleId="1005" w:customStyle="1">
    <w:name w:val="标题 6 字符"/>
    <w:link w:val="902"/>
    <w:uiPriority w:val="0"/>
    <w:qFormat/>
    <w:rPr>
      <w:rFonts w:ascii="Arial" w:hAnsi="Arial" w:eastAsia="黑体"/>
      <w:b/>
      <w:bCs/>
      <w:sz w:val="24"/>
      <w:szCs w:val="24"/>
    </w:rPr>
  </w:style>
  <w:style w:type="character" w:styleId="1006" w:customStyle="1">
    <w:name w:val="标题 7 字符"/>
    <w:link w:val="903"/>
    <w:uiPriority w:val="0"/>
    <w:qFormat/>
    <w:rPr>
      <w:b/>
      <w:bCs/>
      <w:sz w:val="24"/>
      <w:szCs w:val="24"/>
    </w:rPr>
  </w:style>
  <w:style w:type="character" w:styleId="1007" w:customStyle="1">
    <w:name w:val="标题 8 字符"/>
    <w:link w:val="904"/>
    <w:uiPriority w:val="0"/>
    <w:qFormat/>
    <w:rPr>
      <w:rFonts w:ascii="Arial" w:hAnsi="Arial" w:eastAsia="黑体"/>
      <w:sz w:val="24"/>
      <w:szCs w:val="24"/>
    </w:rPr>
  </w:style>
  <w:style w:type="character" w:styleId="1008" w:customStyle="1">
    <w:name w:val="标题 9 字符"/>
    <w:link w:val="905"/>
    <w:uiPriority w:val="0"/>
    <w:qFormat/>
    <w:rPr>
      <w:rFonts w:ascii="Arial" w:hAnsi="Arial" w:eastAsia="黑体"/>
      <w:sz w:val="21"/>
      <w:szCs w:val="21"/>
    </w:rPr>
  </w:style>
  <w:style w:type="character" w:styleId="1009" w:customStyle="1">
    <w:name w:val="Heading 2 Char"/>
    <w:uiPriority w:val="9"/>
    <w:qFormat/>
    <w:rPr>
      <w:rFonts w:ascii="Arial" w:hAnsi="Arial" w:eastAsia="Arial" w:cs="Arial"/>
      <w:sz w:val="34"/>
    </w:rPr>
  </w:style>
  <w:style w:type="character" w:styleId="1010" w:customStyle="1">
    <w:name w:val="Heading 3 Char"/>
    <w:uiPriority w:val="9"/>
    <w:qFormat/>
    <w:rPr>
      <w:rFonts w:ascii="Arial" w:hAnsi="Arial" w:eastAsia="Arial" w:cs="Arial"/>
      <w:sz w:val="30"/>
      <w:szCs w:val="30"/>
    </w:rPr>
  </w:style>
  <w:style w:type="paragraph" w:styleId="1011">
    <w:name w:val="List Paragraph"/>
    <w:basedOn w:val="896"/>
    <w:uiPriority w:val="0"/>
    <w:qFormat/>
    <w:pPr>
      <w:contextualSpacing/>
      <w:ind w:left="720"/>
      <w:jc w:val="left"/>
      <w:widowControl/>
    </w:pPr>
    <w:rPr>
      <w:rFonts w:ascii="Calibri" w:hAnsi="Calibri"/>
      <w:sz w:val="24"/>
      <w:szCs w:val="24"/>
      <w:lang w:eastAsia="en-US" w:bidi="en-US"/>
    </w:rPr>
  </w:style>
  <w:style w:type="paragraph" w:styleId="1012">
    <w:name w:val="No Spacing"/>
    <w:uiPriority w:val="0"/>
    <w:qFormat/>
    <w:rPr>
      <w:rFonts w:hint="default" w:ascii="Times New Roman" w:hAnsi="Times New Roman" w:eastAsia="宋体" w:cs="Times New Roman"/>
      <w:lang w:val="en-US" w:eastAsia="zh-CN" w:bidi="ar-SA"/>
    </w:rPr>
  </w:style>
  <w:style w:type="character" w:styleId="1013" w:customStyle="1">
    <w:name w:val="标题 字符"/>
    <w:link w:val="945"/>
    <w:uiPriority w:val="10"/>
    <w:qFormat/>
    <w:rPr>
      <w:sz w:val="48"/>
      <w:szCs w:val="48"/>
    </w:rPr>
  </w:style>
  <w:style w:type="character" w:styleId="1014" w:customStyle="1">
    <w:name w:val="副标题 字符"/>
    <w:link w:val="933"/>
    <w:uiPriority w:val="11"/>
    <w:qFormat/>
    <w:rPr>
      <w:sz w:val="24"/>
      <w:szCs w:val="24"/>
    </w:rPr>
  </w:style>
  <w:style w:type="paragraph" w:styleId="1015">
    <w:name w:val="Quote"/>
    <w:basedOn w:val="896"/>
    <w:next w:val="896"/>
    <w:link w:val="1016"/>
    <w:uiPriority w:val="29"/>
    <w:qFormat/>
    <w:pPr>
      <w:ind w:left="720" w:right="720"/>
    </w:pPr>
    <w:rPr>
      <w:i/>
    </w:rPr>
  </w:style>
  <w:style w:type="character" w:styleId="1016" w:customStyle="1">
    <w:name w:val="引用 字符"/>
    <w:link w:val="1015"/>
    <w:uiPriority w:val="29"/>
    <w:qFormat/>
    <w:rPr>
      <w:i/>
    </w:rPr>
  </w:style>
  <w:style w:type="paragraph" w:styleId="1017">
    <w:name w:val="Intense Quote"/>
    <w:basedOn w:val="896"/>
    <w:next w:val="896"/>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明显引用 字符"/>
    <w:link w:val="1017"/>
    <w:uiPriority w:val="30"/>
    <w:qFormat/>
    <w:rPr>
      <w:i/>
    </w:rPr>
  </w:style>
  <w:style w:type="character" w:styleId="1019" w:customStyle="1">
    <w:name w:val="页眉 字符"/>
    <w:link w:val="930"/>
    <w:uiPriority w:val="0"/>
    <w:qFormat/>
  </w:style>
  <w:style w:type="character" w:styleId="1020" w:customStyle="1">
    <w:name w:val="页脚 字符"/>
    <w:link w:val="928"/>
    <w:uiPriority w:val="0"/>
    <w:qFormat/>
    <w:rPr>
      <w:rFonts w:eastAsia="宋体"/>
      <w:sz w:val="18"/>
      <w:lang w:val="en-US" w:eastAsia="zh-CN" w:bidi="ar-SA"/>
    </w:rPr>
  </w:style>
  <w:style w:type="character" w:styleId="1021" w:customStyle="1">
    <w:name w:val="Footer Char"/>
    <w:uiPriority w:val="99"/>
    <w:qFormat/>
  </w:style>
  <w:style w:type="character" w:styleId="1022" w:customStyle="1">
    <w:name w:val="Caption Char"/>
    <w:uiPriority w:val="99"/>
    <w:qFormat/>
  </w:style>
  <w:style w:type="table" w:styleId="10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8" w:customStyle="1">
    <w:name w:val="脚注文本 字符"/>
    <w:link w:val="935"/>
    <w:uiPriority w:val="99"/>
    <w:qFormat/>
    <w:rPr>
      <w:sz w:val="18"/>
    </w:rPr>
  </w:style>
  <w:style w:type="character" w:styleId="1149" w:customStyle="1">
    <w:name w:val="尾注文本 字符"/>
    <w:link w:val="926"/>
    <w:uiPriority w:val="0"/>
    <w:qFormat/>
    <w:rPr>
      <w:sz w:val="20"/>
    </w:rPr>
  </w:style>
  <w:style w:type="paragraph" w:styleId="1150" w:customStyle="1">
    <w:name w:val="TOC Heading"/>
    <w:basedOn w:val="897"/>
    <w:next w:val="896"/>
    <w:uiPriority w:val="0"/>
    <w:qFormat/>
    <w:pPr>
      <w:jc w:val="left"/>
      <w:keepLines/>
      <w:spacing w:before="480" w:line="276" w:lineRule="auto"/>
      <w:widowControl/>
      <w:outlineLvl w:val="9"/>
    </w:pPr>
    <w:rPr>
      <w:rFonts w:ascii="Cambria" w:hAnsi="Cambria" w:eastAsia="宋体"/>
      <w:b/>
      <w:bCs/>
      <w:color w:val="365f91"/>
    </w:rPr>
  </w:style>
  <w:style w:type="character" w:styleId="1151" w:customStyle="1">
    <w:name w:val="文档结构图 字符"/>
    <w:link w:val="912"/>
    <w:uiPriority w:val="0"/>
    <w:qFormat/>
    <w:rPr>
      <w:sz w:val="21"/>
      <w:szCs w:val="21"/>
      <w:shd w:val="clear" w:color="auto" w:fill="000080"/>
    </w:rPr>
  </w:style>
  <w:style w:type="character" w:styleId="1152" w:customStyle="1">
    <w:name w:val="批注文字 字符"/>
    <w:basedOn w:val="906"/>
    <w:link w:val="914"/>
    <w:uiPriority w:val="0"/>
    <w:qFormat/>
    <w:rPr>
      <w:sz w:val="21"/>
    </w:rPr>
  </w:style>
  <w:style w:type="character" w:styleId="1153" w:customStyle="1">
    <w:name w:val="正文文本 3 字符"/>
    <w:link w:val="915"/>
    <w:uiPriority w:val="0"/>
    <w:qFormat/>
    <w:rPr>
      <w:rFonts w:ascii="仿宋_GB2312" w:hAnsi="Arial" w:eastAsia="仿宋_GB2312"/>
      <w:sz w:val="32"/>
      <w:szCs w:val="32"/>
    </w:rPr>
  </w:style>
  <w:style w:type="character" w:styleId="1154" w:customStyle="1">
    <w:name w:val="正文文本 字符"/>
    <w:link w:val="916"/>
    <w:uiPriority w:val="0"/>
    <w:qFormat/>
    <w:rPr>
      <w:rFonts w:ascii="楷体_GB2312" w:hAnsi="Arial" w:eastAsia="楷体_GB2312"/>
      <w:sz w:val="28"/>
      <w:szCs w:val="28"/>
    </w:rPr>
  </w:style>
  <w:style w:type="character" w:styleId="1155" w:customStyle="1">
    <w:name w:val="正文文本缩进 字符"/>
    <w:link w:val="917"/>
    <w:uiPriority w:val="0"/>
    <w:qFormat/>
    <w:rPr>
      <w:sz w:val="21"/>
      <w:szCs w:val="21"/>
    </w:rPr>
  </w:style>
  <w:style w:type="character" w:styleId="1156" w:customStyle="1">
    <w:name w:val="纯文本 字符"/>
    <w:link w:val="922"/>
    <w:uiPriority w:val="0"/>
    <w:qFormat/>
    <w:rPr>
      <w:rFonts w:ascii="宋体" w:hAnsi="Courier New" w:eastAsia="宋体" w:cs="Courier New"/>
      <w:sz w:val="21"/>
      <w:szCs w:val="21"/>
      <w:lang w:val="en-US" w:eastAsia="zh-CN" w:bidi="ar-SA"/>
    </w:rPr>
  </w:style>
  <w:style w:type="character" w:styleId="1157" w:customStyle="1">
    <w:name w:val="日期 字符"/>
    <w:link w:val="924"/>
    <w:uiPriority w:val="0"/>
    <w:qFormat/>
    <w:rPr>
      <w:sz w:val="24"/>
      <w:szCs w:val="24"/>
    </w:rPr>
  </w:style>
  <w:style w:type="character" w:styleId="1158" w:customStyle="1">
    <w:name w:val="正文文本缩进 2 字符"/>
    <w:link w:val="925"/>
    <w:uiPriority w:val="0"/>
    <w:qFormat/>
    <w:rPr>
      <w:rFonts w:ascii="Arial" w:hAnsi="Arial" w:eastAsia="仿宋_GB2312" w:cs="Arial"/>
      <w:sz w:val="32"/>
      <w:szCs w:val="32"/>
    </w:rPr>
  </w:style>
  <w:style w:type="character" w:styleId="1159" w:customStyle="1">
    <w:name w:val="正文文本 2 字符"/>
    <w:link w:val="941"/>
    <w:uiPriority w:val="0"/>
    <w:qFormat/>
    <w:rPr>
      <w:rFonts w:ascii="楷体_GB2312" w:eastAsia="楷体_GB2312"/>
      <w:sz w:val="28"/>
      <w:szCs w:val="28"/>
    </w:rPr>
  </w:style>
  <w:style w:type="character" w:styleId="1160" w:customStyle="1">
    <w:name w:val="正文文本首行缩进 字符"/>
    <w:link w:val="947"/>
    <w:uiPriority w:val="0"/>
    <w:qFormat/>
    <w:rPr>
      <w:rFonts w:ascii="仿宋_GB2312" w:hAnsi="Arial" w:eastAsia="仿宋_GB2312"/>
      <w:sz w:val="30"/>
      <w:szCs w:val="30"/>
    </w:rPr>
  </w:style>
  <w:style w:type="character" w:styleId="1161" w:customStyle="1">
    <w:name w:val="已访问的超链接1"/>
    <w:basedOn w:val="906"/>
    <w:uiPriority w:val="0"/>
    <w:qFormat/>
    <w:rPr>
      <w:color w:val="800080"/>
      <w:u w:val="none"/>
    </w:rPr>
  </w:style>
  <w:style w:type="paragraph" w:styleId="1162" w:customStyle="1">
    <w:name w:val="首行缩进"/>
    <w:basedOn w:val="896"/>
    <w:uiPriority w:val="0"/>
    <w:qFormat/>
    <w:pPr>
      <w:ind w:firstLine="480"/>
    </w:pPr>
    <w:rPr>
      <w:lang w:val="zh-CN"/>
    </w:rPr>
  </w:style>
  <w:style w:type="character" w:styleId="1163" w:customStyle="1">
    <w:name w:val="标题 3 Char"/>
    <w:uiPriority w:val="0"/>
    <w:qFormat/>
    <w:rPr>
      <w:rFonts w:eastAsia="宋体"/>
      <w:b/>
      <w:bCs/>
      <w:sz w:val="32"/>
      <w:szCs w:val="32"/>
      <w:lang w:val="en-US" w:eastAsia="zh-CN" w:bidi="ar-SA"/>
    </w:rPr>
  </w:style>
  <w:style w:type="character" w:styleId="1164" w:customStyle="1">
    <w:name w:val="二级目录 Char Char"/>
    <w:link w:val="1165"/>
    <w:uiPriority w:val="0"/>
    <w:qFormat/>
    <w:rPr>
      <w:rFonts w:eastAsia="Times New Roman"/>
      <w:b/>
      <w:sz w:val="30"/>
      <w:szCs w:val="28"/>
      <w:lang w:val="en-US" w:eastAsia="zh-CN" w:bidi="ar-SA"/>
    </w:rPr>
  </w:style>
  <w:style w:type="paragraph" w:styleId="1165" w:customStyle="1">
    <w:name w:val="二级目录"/>
    <w:next w:val="896"/>
    <w:link w:val="1164"/>
    <w:uiPriority w:val="0"/>
    <w:qFormat/>
    <w:pPr>
      <w:ind w:left="567" w:hanging="567"/>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66" w:customStyle="1">
    <w:name w:val="标题 2 Char1"/>
    <w:uiPriority w:val="0"/>
    <w:qFormat/>
    <w:rPr>
      <w:rFonts w:ascii="Arial" w:hAnsi="Arial" w:eastAsia="幼圆" w:cs="Arial"/>
      <w:b/>
      <w:bCs/>
      <w:sz w:val="44"/>
      <w:szCs w:val="44"/>
    </w:rPr>
  </w:style>
  <w:style w:type="character" w:styleId="1167" w:customStyle="1">
    <w:name w:val="纯文本 Char Char1"/>
    <w:uiPriority w:val="0"/>
    <w:qFormat/>
    <w:rPr>
      <w:rFonts w:ascii="宋体" w:hAnsi="Courier New"/>
      <w:sz w:val="21"/>
      <w:szCs w:val="21"/>
      <w:lang w:bidi="ar-SA"/>
    </w:rPr>
  </w:style>
  <w:style w:type="character" w:styleId="1168" w:customStyle="1">
    <w:name w:val="H3 Char"/>
    <w:uiPriority w:val="0"/>
    <w:qFormat/>
    <w:rPr>
      <w:rFonts w:eastAsia="宋体"/>
      <w:b/>
      <w:bCs/>
      <w:sz w:val="32"/>
      <w:szCs w:val="32"/>
      <w:lang w:bidi="ar-SA"/>
    </w:rPr>
  </w:style>
  <w:style w:type="character" w:styleId="1169" w:customStyle="1">
    <w:name w:val="普通文字 Char Char2"/>
    <w:uiPriority w:val="0"/>
    <w:qFormat/>
    <w:rPr>
      <w:rFonts w:ascii="宋体" w:hAnsi="Courier New" w:cs="Courier New"/>
      <w:sz w:val="21"/>
      <w:szCs w:val="21"/>
    </w:rPr>
  </w:style>
  <w:style w:type="character" w:styleId="1170" w:customStyle="1">
    <w:name w:val="style11"/>
    <w:uiPriority w:val="0"/>
    <w:qFormat/>
  </w:style>
  <w:style w:type="character" w:styleId="1171" w:customStyle="1">
    <w:name w:val="ALT+Z Char1"/>
    <w:uiPriority w:val="0"/>
    <w:qFormat/>
    <w:rPr>
      <w:rFonts w:eastAsia="宋体"/>
      <w:sz w:val="21"/>
      <w:szCs w:val="21"/>
      <w:lang w:val="en-US" w:eastAsia="zh-CN" w:bidi="ar-SA"/>
    </w:rPr>
  </w:style>
  <w:style w:type="character" w:styleId="1172" w:customStyle="1">
    <w:name w:val="ALT+Z Char"/>
    <w:uiPriority w:val="0"/>
    <w:qFormat/>
    <w:rPr>
      <w:rFonts w:eastAsia="宋体"/>
      <w:sz w:val="21"/>
      <w:szCs w:val="21"/>
      <w:lang w:bidi="ar-SA"/>
    </w:rPr>
  </w:style>
  <w:style w:type="character" w:styleId="1173" w:customStyle="1">
    <w:name w:val="H2 Char"/>
    <w:uiPriority w:val="0"/>
    <w:qFormat/>
    <w:rPr>
      <w:rFonts w:ascii="Arial" w:hAnsi="Arial" w:eastAsia="幼圆" w:cs="Arial"/>
      <w:b/>
      <w:bCs/>
      <w:sz w:val="44"/>
      <w:szCs w:val="44"/>
      <w:lang w:val="en-US" w:eastAsia="zh-CN" w:bidi="ar-SA"/>
    </w:rPr>
  </w:style>
  <w:style w:type="character" w:styleId="1174" w:customStyle="1">
    <w:name w:val="style21"/>
    <w:uiPriority w:val="0"/>
    <w:qFormat/>
    <w:rPr>
      <w:rFonts w:hint="eastAsia" w:ascii="宋体" w:hAnsi="宋体" w:eastAsia="宋体"/>
      <w:b/>
      <w:bCs/>
      <w:color w:val="000000"/>
      <w:sz w:val="33"/>
      <w:szCs w:val="33"/>
    </w:rPr>
  </w:style>
  <w:style w:type="character" w:styleId="1175" w:customStyle="1">
    <w:name w:val="font5 Char"/>
    <w:uiPriority w:val="0"/>
    <w:qFormat/>
    <w:rPr>
      <w:rFonts w:ascii="宋体" w:hAnsi="宋体" w:eastAsia="宋体"/>
      <w:sz w:val="28"/>
      <w:szCs w:val="28"/>
      <w:lang w:val="en-US" w:eastAsia="zh-CN" w:bidi="ar-SA"/>
    </w:rPr>
  </w:style>
  <w:style w:type="paragraph" w:styleId="1176"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7" w:customStyle="1">
    <w:name w:val="p0"/>
    <w:basedOn w:val="896"/>
    <w:uiPriority w:val="0"/>
    <w:qFormat/>
    <w:pPr>
      <w:widowControl/>
    </w:pPr>
    <w:rPr>
      <w:rFonts w:hint="eastAsia"/>
      <w:szCs w:val="21"/>
    </w:rPr>
  </w:style>
  <w:style w:type="paragraph" w:styleId="11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79" w:customStyle="1">
    <w:name w:val="table_lines"/>
    <w:basedOn w:val="896"/>
    <w:uiPriority w:val="0"/>
    <w:qFormat/>
    <w:pPr>
      <w:jc w:val="left"/>
      <w:widowControl/>
    </w:pPr>
    <w:rPr>
      <w:sz w:val="20"/>
      <w:lang w:val="de-DE" w:eastAsia="de-DE"/>
    </w:rPr>
  </w:style>
  <w:style w:type="paragraph" w:styleId="1180" w:customStyle="1">
    <w:name w:val="table_1stline"/>
    <w:basedOn w:val="896"/>
    <w:uiPriority w:val="0"/>
    <w:qFormat/>
    <w:pPr>
      <w:jc w:val="left"/>
      <w:spacing w:before="120"/>
      <w:widowControl/>
    </w:pPr>
    <w:rPr>
      <w:bCs/>
      <w:sz w:val="20"/>
      <w:lang w:val="de-DE" w:eastAsia="de-DE"/>
    </w:rPr>
  </w:style>
  <w:style w:type="paragraph" w:styleId="1181" w:customStyle="1">
    <w:name w:val="font5"/>
    <w:basedOn w:val="896"/>
    <w:uiPriority w:val="0"/>
    <w:qFormat/>
    <w:pPr>
      <w:jc w:val="left"/>
      <w:spacing w:before="100" w:beforeAutospacing="1" w:after="100" w:afterAutospacing="1"/>
      <w:widowControl/>
    </w:pPr>
    <w:rPr>
      <w:rFonts w:hint="eastAsia" w:ascii="宋体" w:hAnsi="宋体"/>
      <w:sz w:val="28"/>
      <w:szCs w:val="28"/>
    </w:rPr>
  </w:style>
  <w:style w:type="paragraph" w:styleId="1182" w:customStyle="1">
    <w:name w:val="Body Text(ch)"/>
    <w:basedOn w:val="896"/>
    <w:next w:val="916"/>
    <w:uiPriority w:val="0"/>
    <w:qFormat/>
    <w:pPr>
      <w:spacing w:after="120"/>
    </w:pPr>
    <w:rPr>
      <w:rFonts w:ascii="宋体" w:hAnsi="Arial"/>
      <w:bCs/>
      <w:iCs/>
      <w:szCs w:val="24"/>
    </w:rPr>
  </w:style>
  <w:style w:type="paragraph" w:styleId="1183" w:customStyle="1">
    <w:name w:val="标题1"/>
    <w:basedOn w:val="896"/>
    <w:next w:val="896"/>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184" w:customStyle="1">
    <w:name w:val="普通正文"/>
    <w:basedOn w:val="896"/>
    <w:uiPriority w:val="99"/>
    <w:qFormat/>
    <w:pPr>
      <w:ind w:firstLine="480"/>
      <w:jc w:val="left"/>
      <w:spacing w:before="120" w:after="120" w:line="360" w:lineRule="auto"/>
    </w:pPr>
    <w:rPr>
      <w:rFonts w:ascii="Arial" w:hAnsi="Arial"/>
      <w:sz w:val="24"/>
      <w:szCs w:val="24"/>
    </w:rPr>
  </w:style>
  <w:style w:type="paragraph" w:styleId="1185" w:customStyle="1">
    <w:name w:val="Char"/>
    <w:basedOn w:val="896"/>
    <w:uiPriority w:val="0"/>
    <w:qFormat/>
    <w:pPr>
      <w:tabs>
        <w:tab w:val="left" w:pos="360" w:leader="none"/>
      </w:tabs>
    </w:pPr>
    <w:rPr>
      <w:sz w:val="24"/>
      <w:szCs w:val="24"/>
    </w:rPr>
  </w:style>
  <w:style w:type="paragraph" w:styleId="118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7" w:customStyle="1">
    <w:name w:val="Char Char Char Char Char Char Char Char"/>
    <w:basedOn w:val="896"/>
    <w:uiPriority w:val="0"/>
    <w:qFormat/>
    <w:pPr>
      <w:jc w:val="left"/>
      <w:spacing w:after="160" w:line="240" w:lineRule="exact"/>
      <w:widowControl/>
    </w:pPr>
    <w:rPr>
      <w:rFonts w:ascii="Verdana" w:hAnsi="Verdana"/>
      <w:sz w:val="20"/>
      <w:lang w:eastAsia="en-US"/>
    </w:rPr>
  </w:style>
  <w:style w:type="paragraph" w:styleId="1188" w:customStyle="1">
    <w:name w:val="xl30"/>
    <w:basedOn w:val="896"/>
    <w:uiPriority w:val="0"/>
    <w:qFormat/>
    <w:pPr>
      <w:jc w:val="center"/>
      <w:spacing w:before="100" w:beforeAutospacing="1" w:after="100" w:afterAutospacing="1"/>
      <w:widowControl/>
    </w:pPr>
    <w:rPr>
      <w:rFonts w:ascii="宋体" w:hAnsi="宋体"/>
      <w:b/>
      <w:bCs/>
      <w:sz w:val="36"/>
      <w:szCs w:val="36"/>
    </w:rPr>
  </w:style>
  <w:style w:type="paragraph" w:styleId="1189" w:customStyle="1">
    <w:name w:val="font6"/>
    <w:basedOn w:val="896"/>
    <w:uiPriority w:val="0"/>
    <w:qFormat/>
    <w:pPr>
      <w:jc w:val="left"/>
      <w:spacing w:before="100" w:beforeAutospacing="1" w:after="100" w:afterAutospacing="1"/>
      <w:widowControl/>
    </w:pPr>
    <w:rPr>
      <w:rFonts w:hint="eastAsia" w:ascii="宋体" w:hAnsi="宋体"/>
      <w:sz w:val="28"/>
      <w:szCs w:val="28"/>
      <w:u w:val="single"/>
    </w:rPr>
  </w:style>
  <w:style w:type="paragraph" w:styleId="1190" w:customStyle="1">
    <w:name w:val="font7"/>
    <w:basedOn w:val="896"/>
    <w:uiPriority w:val="0"/>
    <w:qFormat/>
    <w:pPr>
      <w:jc w:val="left"/>
      <w:spacing w:before="100" w:beforeAutospacing="1" w:after="100" w:afterAutospacing="1"/>
      <w:widowControl/>
    </w:pPr>
    <w:rPr>
      <w:rFonts w:hint="eastAsia" w:ascii="宋体" w:hAnsi="宋体"/>
      <w:sz w:val="18"/>
      <w:szCs w:val="18"/>
    </w:rPr>
  </w:style>
  <w:style w:type="paragraph" w:styleId="1191" w:customStyle="1">
    <w:name w:val="4"/>
    <w:basedOn w:val="896"/>
    <w:next w:val="937"/>
    <w:uiPriority w:val="0"/>
    <w:qFormat/>
    <w:pPr>
      <w:ind w:firstLine="420"/>
      <w:spacing w:line="360" w:lineRule="auto"/>
    </w:pPr>
    <w:rPr>
      <w:color w:val="ff0000"/>
      <w:sz w:val="24"/>
      <w:szCs w:val="24"/>
    </w:rPr>
  </w:style>
  <w:style w:type="paragraph" w:styleId="1192" w:customStyle="1">
    <w:name w:val="xl28"/>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3" w:customStyle="1">
    <w:name w:val="样式 标题 3 + (中文) 黑体 小四 非加粗 段前: 7.8 磅 段后: 0 磅 行距: 固定值 20 磅"/>
    <w:basedOn w:val="899"/>
    <w:uiPriority w:val="0"/>
    <w:qFormat/>
    <w:pPr>
      <w:spacing w:before="0" w:after="0" w:line="400" w:lineRule="exact"/>
    </w:pPr>
    <w:rPr>
      <w:rFonts w:hint="eastAsia" w:eastAsia="黑体"/>
      <w:b w:val="0"/>
      <w:bCs w:val="0"/>
      <w:sz w:val="24"/>
      <w:szCs w:val="21"/>
    </w:rPr>
  </w:style>
  <w:style w:type="paragraph" w:styleId="1194" w:customStyle="1">
    <w:name w:val="Char Char Char Char"/>
    <w:basedOn w:val="912"/>
    <w:uiPriority w:val="0"/>
    <w:qFormat/>
    <w:pPr>
      <w:spacing w:line="360" w:lineRule="auto"/>
    </w:pPr>
    <w:rPr>
      <w:rFonts w:ascii="Tahoma" w:hAnsi="Tahoma"/>
      <w:sz w:val="24"/>
      <w:szCs w:val="24"/>
    </w:rPr>
  </w:style>
  <w:style w:type="paragraph" w:styleId="1195" w:customStyle="1">
    <w:name w:val="xl24"/>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6" w:customStyle="1">
    <w:name w:val="xl29"/>
    <w:basedOn w:val="8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7" w:customStyle="1">
    <w:name w:val="普通 (Web)"/>
    <w:basedOn w:val="896"/>
    <w:uiPriority w:val="0"/>
    <w:qFormat/>
    <w:pPr>
      <w:jc w:val="left"/>
      <w:spacing w:before="100" w:beforeAutospacing="1" w:after="100" w:afterAutospacing="1"/>
      <w:widowControl/>
    </w:pPr>
    <w:rPr>
      <w:rFonts w:ascii="宋体" w:hAnsi="宋体"/>
      <w:sz w:val="24"/>
      <w:szCs w:val="24"/>
    </w:rPr>
  </w:style>
  <w:style w:type="paragraph" w:styleId="1198" w:customStyle="1">
    <w:name w:val="标题3"/>
    <w:basedOn w:val="896"/>
    <w:next w:val="896"/>
    <w:uiPriority w:val="0"/>
    <w:qFormat/>
    <w:pPr>
      <w:ind w:firstLine="624"/>
      <w:spacing w:line="590" w:lineRule="atLeast"/>
    </w:pPr>
    <w:rPr>
      <w:rFonts w:ascii="方正黑体_GBK" w:eastAsia="方正黑体_GBK"/>
      <w:sz w:val="32"/>
      <w:szCs w:val="32"/>
    </w:rPr>
  </w:style>
  <w:style w:type="paragraph" w:styleId="1199" w:customStyle="1">
    <w:name w:val="Blockquote"/>
    <w:basedOn w:val="896"/>
    <w:link w:val="1200"/>
    <w:uiPriority w:val="0"/>
    <w:qFormat/>
    <w:pPr>
      <w:ind w:left="360" w:right="360"/>
      <w:jc w:val="left"/>
      <w:spacing w:before="100" w:after="100"/>
    </w:pPr>
    <w:rPr>
      <w:sz w:val="24"/>
    </w:rPr>
  </w:style>
  <w:style w:type="character" w:styleId="1200" w:customStyle="1">
    <w:name w:val="Blockquote Char Char"/>
    <w:link w:val="1199"/>
    <w:uiPriority w:val="0"/>
    <w:qFormat/>
    <w:rPr>
      <w:sz w:val="24"/>
    </w:rPr>
  </w:style>
  <w:style w:type="paragraph" w:styleId="1201" w:customStyle="1">
    <w:name w:val="Char1"/>
    <w:basedOn w:val="912"/>
    <w:uiPriority w:val="0"/>
    <w:qFormat/>
    <w:rPr>
      <w:rFonts w:ascii="Tahoma" w:hAnsi="Tahoma"/>
      <w:sz w:val="24"/>
      <w:szCs w:val="24"/>
    </w:rPr>
  </w:style>
  <w:style w:type="paragraph" w:styleId="1202" w:customStyle="1">
    <w:name w:val="Char Char Char Char Char Char Char Char1"/>
    <w:basedOn w:val="896"/>
    <w:uiPriority w:val="0"/>
    <w:qFormat/>
    <w:pPr>
      <w:jc w:val="left"/>
      <w:spacing w:after="160" w:line="240" w:lineRule="exact"/>
      <w:widowControl/>
    </w:pPr>
    <w:rPr>
      <w:rFonts w:ascii="Verdana" w:hAnsi="Verdana"/>
      <w:sz w:val="20"/>
      <w:lang w:eastAsia="en-US"/>
    </w:rPr>
  </w:style>
  <w:style w:type="paragraph" w:styleId="1203" w:customStyle="1">
    <w:name w:val="Char Char Char Char1"/>
    <w:basedOn w:val="912"/>
    <w:uiPriority w:val="0"/>
    <w:qFormat/>
    <w:pPr>
      <w:spacing w:line="360" w:lineRule="auto"/>
    </w:pPr>
    <w:rPr>
      <w:rFonts w:ascii="Tahoma" w:hAnsi="Tahoma"/>
      <w:sz w:val="24"/>
      <w:szCs w:val="24"/>
    </w:rPr>
  </w:style>
  <w:style w:type="paragraph" w:styleId="1204" w:customStyle="1">
    <w:name w:val="图标"/>
    <w:basedOn w:val="896"/>
    <w:next w:val="896"/>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205" w:customStyle="1">
    <w:name w:val="xl27"/>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6" w:customStyle="1">
    <w:name w:val="xl26"/>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7" w:customStyle="1">
    <w:name w:val="样式1"/>
    <w:basedOn w:val="896"/>
    <w:uiPriority w:val="0"/>
    <w:qFormat/>
    <w:pPr>
      <w:numPr>
        <w:ilvl w:val="0"/>
        <w:numId w:val="3"/>
      </w:numPr>
    </w:pPr>
    <w:rPr>
      <w:rFonts w:ascii="宋体" w:hAnsi="宋体"/>
      <w:szCs w:val="21"/>
    </w:rPr>
  </w:style>
  <w:style w:type="paragraph" w:styleId="1208" w:customStyle="1">
    <w:name w:val="_Style 2"/>
    <w:basedOn w:val="896"/>
    <w:uiPriority w:val="34"/>
    <w:qFormat/>
    <w:pPr>
      <w:contextualSpacing/>
      <w:ind w:left="720"/>
      <w:jc w:val="left"/>
      <w:widowControl/>
    </w:pPr>
    <w:rPr>
      <w:rFonts w:ascii="Calibri" w:hAnsi="Calibri"/>
      <w:sz w:val="24"/>
      <w:szCs w:val="24"/>
      <w:lang w:eastAsia="en-US" w:bidi="en-US"/>
    </w:rPr>
  </w:style>
  <w:style w:type="paragraph" w:styleId="1209" w:customStyle="1">
    <w:name w:val="列出段落1"/>
    <w:basedOn w:val="896"/>
    <w:uiPriority w:val="0"/>
    <w:qFormat/>
    <w:pPr>
      <w:ind w:firstLine="420"/>
    </w:pPr>
    <w:rPr>
      <w:rFonts w:ascii="Calibri" w:hAnsi="Calibri" w:cs="黑体"/>
    </w:rPr>
  </w:style>
  <w:style w:type="paragraph" w:styleId="1210" w:customStyle="1">
    <w:name w:val="纯文本1"/>
    <w:basedOn w:val="896"/>
    <w:uiPriority w:val="0"/>
    <w:qFormat/>
    <w:rPr>
      <w:rFonts w:ascii="宋体" w:hAnsi="Courier New" w:eastAsia="楷体_GB2312" w:cs="宋体"/>
      <w:sz w:val="28"/>
      <w:szCs w:val="21"/>
    </w:rPr>
  </w:style>
  <w:style w:type="paragraph" w:styleId="1211" w:customStyle="1">
    <w:name w:val="Table Paragraph"/>
    <w:basedOn w:val="896"/>
    <w:uiPriority w:val="1"/>
    <w:qFormat/>
    <w:rPr>
      <w:rFonts w:ascii="宋体" w:hAnsi="宋体" w:cs="宋体"/>
      <w:lang w:val="zh-CN" w:bidi="zh-CN"/>
    </w:rPr>
  </w:style>
  <w:style w:type="paragraph" w:styleId="1212" w:customStyle="1">
    <w:name w:val="Table Text"/>
    <w:basedOn w:val="896"/>
    <w:uiPriority w:val="0"/>
    <w:qFormat/>
    <w:pPr>
      <w:ind w:firstLine="200"/>
      <w:jc w:val="left"/>
      <w:spacing w:after="200" w:line="360" w:lineRule="exact"/>
      <w:widowControl/>
    </w:pPr>
    <w:rPr>
      <w:rFonts w:ascii="??¨¬?" w:hAnsi="??¨¬?" w:eastAsia="仿宋"/>
      <w:sz w:val="24"/>
      <w:lang w:val="en-GB" w:eastAsia="en-US" w:bidi="en-US"/>
    </w:rPr>
  </w:style>
  <w:style w:type="paragraph" w:styleId="1213" w:customStyle="1">
    <w:name w:val="标题 21"/>
    <w:basedOn w:val="896"/>
    <w:next w:val="896"/>
    <w:uiPriority w:val="0"/>
    <w:qFormat/>
    <w:pPr>
      <w:keepLines/>
      <w:keepNext/>
      <w:spacing w:before="260" w:after="260" w:line="416" w:lineRule="auto"/>
      <w:outlineLvl w:val="1"/>
    </w:pPr>
    <w:rPr>
      <w:rFonts w:ascii="Cambria" w:hAnsi="Cambria"/>
      <w:b/>
      <w:bCs/>
      <w:sz w:val="32"/>
      <w:szCs w:val="32"/>
    </w:rPr>
  </w:style>
  <w:style w:type="paragraph" w:styleId="1214" w:customStyle="1">
    <w:name w:val="目录 71"/>
    <w:basedOn w:val="896"/>
    <w:next w:val="896"/>
    <w:uiPriority w:val="0"/>
    <w:qFormat/>
    <w:pPr>
      <w:ind w:left="2520"/>
    </w:pPr>
  </w:style>
  <w:style w:type="character" w:styleId="1215" w:customStyle="1">
    <w:name w:val="NormalCharacter1"/>
    <w:uiPriority w:val="0"/>
    <w:qFormat/>
  </w:style>
  <w:style w:type="paragraph" w:styleId="121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正文文本1"/>
    <w:basedOn w:val="896"/>
    <w:uiPriority w:val="0"/>
    <w:unhideWhenUsed/>
    <w:qFormat/>
    <w:rPr>
      <w:rFonts w:ascii="楷体_GB2312"/>
      <w:b/>
      <w:bCs/>
      <w:sz w:val="28"/>
    </w:rPr>
  </w:style>
  <w:style w:type="paragraph" w:styleId="1218" w:customStyle="1">
    <w:name w:val="正文首行缩进 21"/>
    <w:basedOn w:val="1219"/>
    <w:uiPriority w:val="99"/>
    <w:unhideWhenUsed/>
    <w:qFormat/>
    <w:pPr>
      <w:ind w:firstLine="420"/>
    </w:pPr>
  </w:style>
  <w:style w:type="paragraph" w:styleId="1219" w:customStyle="1">
    <w:name w:val="正文文本缩进1"/>
    <w:basedOn w:val="896"/>
    <w:uiPriority w:val="0"/>
    <w:unhideWhenUsed/>
    <w:qFormat/>
    <w:pPr>
      <w:ind w:firstLine="570"/>
    </w:pPr>
    <w:rPr>
      <w:rFonts w:ascii="宋体"/>
      <w:sz w:val="28"/>
    </w:rPr>
  </w:style>
  <w:style w:type="paragraph" w:styleId="1220" w:customStyle="1">
    <w:name w:val="纯文本1111"/>
    <w:basedOn w:val="896"/>
    <w:next w:val="1221"/>
    <w:uiPriority w:val="0"/>
    <w:unhideWhenUsed/>
    <w:qFormat/>
    <w:rPr>
      <w:rFonts w:ascii="宋体" w:hAnsi="Courier New"/>
    </w:rPr>
  </w:style>
  <w:style w:type="paragraph" w:styleId="1221" w:customStyle="1">
    <w:name w:val="正文缩进1"/>
    <w:basedOn w:val="896"/>
    <w:uiPriority w:val="0"/>
    <w:unhideWhenUsed/>
    <w:qFormat/>
    <w:pPr>
      <w:ind w:firstLine="420"/>
      <w:jc w:val="left"/>
    </w:pPr>
    <w:rPr>
      <w:sz w:val="24"/>
    </w:rPr>
  </w:style>
  <w:style w:type="paragraph" w:styleId="1222" w:customStyle="1">
    <w:name w:val="正文2"/>
    <w:basedOn w:val="896"/>
    <w:uiPriority w:val="0"/>
    <w:qFormat/>
    <w:pPr>
      <w:ind w:firstLine="200"/>
      <w:spacing w:before="156" w:line="360" w:lineRule="auto"/>
    </w:pPr>
    <w:rPr>
      <w:sz w:val="24"/>
    </w:rPr>
  </w:style>
  <w:style w:type="character" w:styleId="1223" w:customStyle="1">
    <w:name w:val="批注框文本 字符"/>
    <w:basedOn w:val="906"/>
    <w:link w:val="927"/>
    <w:uiPriority w:val="0"/>
    <w:qFormat/>
    <w:rPr>
      <w:sz w:val="18"/>
      <w:szCs w:val="18"/>
    </w:rPr>
  </w:style>
  <w:style w:type="character" w:styleId="1224" w:customStyle="1">
    <w:name w:val="批注主题 字符"/>
    <w:basedOn w:val="1152"/>
    <w:link w:val="946"/>
    <w:uiPriority w:val="99"/>
    <w:qFormat/>
    <w:rPr>
      <w:rFonts w:ascii="Calibri" w:hAnsi="Calibri"/>
      <w:b/>
      <w:bCs/>
      <w:sz w:val="21"/>
      <w:szCs w:val="22"/>
    </w:rPr>
  </w:style>
  <w:style w:type="character" w:styleId="1225" w:customStyle="1">
    <w:name w:val="font71"/>
    <w:uiPriority w:val="0"/>
    <w:qFormat/>
    <w:rPr>
      <w:rFonts w:hint="eastAsia" w:ascii="仿宋" w:hAnsi="仿宋" w:eastAsia="仿宋" w:cs="仿宋"/>
      <w:color w:val="000000"/>
      <w:sz w:val="24"/>
      <w:szCs w:val="24"/>
      <w:u w:val="single"/>
    </w:rPr>
  </w:style>
  <w:style w:type="character" w:styleId="1226" w:customStyle="1">
    <w:name w:val="font31"/>
    <w:uiPriority w:val="0"/>
    <w:qFormat/>
    <w:rPr>
      <w:rFonts w:hint="eastAsia" w:ascii="仿宋" w:hAnsi="仿宋" w:eastAsia="仿宋" w:cs="仿宋"/>
      <w:color w:val="000000"/>
      <w:sz w:val="24"/>
      <w:szCs w:val="24"/>
      <w:u w:val="none"/>
    </w:rPr>
  </w:style>
  <w:style w:type="character" w:styleId="1227" w:customStyle="1">
    <w:name w:val="font101"/>
    <w:uiPriority w:val="0"/>
    <w:qFormat/>
    <w:rPr>
      <w:rFonts w:hint="eastAsia" w:ascii="仿宋" w:hAnsi="仿宋" w:eastAsia="仿宋" w:cs="仿宋"/>
      <w:color w:val="000000"/>
      <w:sz w:val="32"/>
      <w:szCs w:val="32"/>
      <w:u w:val="none"/>
    </w:rPr>
  </w:style>
  <w:style w:type="character" w:styleId="1228" w:customStyle="1">
    <w:name w:val="font81"/>
    <w:uiPriority w:val="0"/>
    <w:qFormat/>
    <w:rPr>
      <w:rFonts w:hint="eastAsia" w:ascii="仿宋" w:hAnsi="仿宋" w:eastAsia="仿宋" w:cs="仿宋"/>
      <w:color w:val="000000"/>
      <w:sz w:val="32"/>
      <w:szCs w:val="32"/>
      <w:u w:val="single"/>
    </w:rPr>
  </w:style>
  <w:style w:type="character" w:styleId="1229" w:customStyle="1">
    <w:name w:val="apple-converted-space"/>
    <w:uiPriority w:val="0"/>
    <w:qFormat/>
  </w:style>
  <w:style w:type="paragraph" w:styleId="1230" w:customStyle="1">
    <w:name w:val="样式 正文缩进 + 首行缩进:  2 字符"/>
    <w:basedOn w:val="908"/>
    <w:uiPriority w:val="0"/>
    <w:qFormat/>
    <w:pPr>
      <w:ind w:firstLine="200"/>
      <w:jc w:val="left"/>
      <w:spacing w:line="360" w:lineRule="auto"/>
    </w:pPr>
    <w:rPr>
      <w:rFonts w:ascii="宋体" w:hAnsi="Calibri" w:cs="宋体"/>
      <w:sz w:val="24"/>
      <w:szCs w:val="20"/>
    </w:rPr>
  </w:style>
  <w:style w:type="paragraph" w:styleId="1231" w:customStyle="1">
    <w:name w:val="Char Char Char Char Char"/>
    <w:basedOn w:val="912"/>
    <w:uiPriority w:val="0"/>
    <w:qFormat/>
    <w:rPr>
      <w:rFonts w:ascii="Tahoma" w:hAnsi="Tahoma"/>
      <w:sz w:val="24"/>
    </w:rPr>
  </w:style>
  <w:style w:type="paragraph" w:styleId="1232" w:customStyle="1">
    <w:name w:val="样式 段 + 首行缩进:  2 字符"/>
    <w:basedOn w:val="896"/>
    <w:uiPriority w:val="0"/>
    <w:qFormat/>
    <w:pPr>
      <w:ind w:firstLine="420"/>
      <w:widowControl/>
    </w:pPr>
    <w:rPr>
      <w:rFonts w:ascii="Calibri" w:hAnsi="Calibri" w:cs="宋体"/>
      <w:szCs w:val="21"/>
    </w:rPr>
  </w:style>
  <w:style w:type="paragraph" w:styleId="1233" w:customStyle="1">
    <w:name w:val="修订1"/>
    <w:uiPriority w:val="0"/>
    <w:qFormat/>
    <w:rPr>
      <w:rFonts w:hint="default" w:ascii="Calibri" w:hAnsi="Calibri" w:eastAsia="宋体" w:cs="黑体"/>
      <w:sz w:val="21"/>
      <w:szCs w:val="22"/>
      <w:lang w:val="en-US" w:eastAsia="zh-CN" w:bidi="ar-SA"/>
    </w:rPr>
  </w:style>
  <w:style w:type="paragraph" w:styleId="1234" w:customStyle="1">
    <w:name w:val="列出段落3"/>
    <w:basedOn w:val="896"/>
    <w:uiPriority w:val="0"/>
    <w:qFormat/>
    <w:pPr>
      <w:ind w:firstLine="420"/>
      <w:spacing w:line="360" w:lineRule="auto"/>
    </w:pPr>
    <w:rPr>
      <w:rFonts w:eastAsia="仿宋_GB2312"/>
      <w:sz w:val="28"/>
      <w:szCs w:val="24"/>
    </w:rPr>
  </w:style>
  <w:style w:type="paragraph" w:styleId="1235" w:customStyle="1">
    <w:name w:val="style8"/>
    <w:basedOn w:val="896"/>
    <w:uiPriority w:val="0"/>
    <w:qFormat/>
    <w:pPr>
      <w:jc w:val="left"/>
      <w:spacing w:before="100" w:beforeAutospacing="1" w:after="100" w:afterAutospacing="1"/>
      <w:widowControl/>
    </w:pPr>
    <w:rPr>
      <w:rFonts w:ascii="宋体" w:hAnsi="宋体" w:cs="宋体"/>
      <w:sz w:val="24"/>
      <w:szCs w:val="24"/>
    </w:rPr>
  </w:style>
  <w:style w:type="character" w:styleId="1236" w:customStyle="1">
    <w:name w:val="fontstyle01"/>
    <w:basedOn w:val="906"/>
    <w:uiPriority w:val="0"/>
    <w:qFormat/>
    <w:rPr>
      <w:rFonts w:hint="eastAsia" w:ascii="宋体" w:hAnsi="宋体" w:eastAsia="宋体"/>
      <w:color w:val="000000"/>
      <w:sz w:val="24"/>
      <w:szCs w:val="24"/>
    </w:rPr>
  </w:style>
  <w:style w:type="paragraph" w:styleId="1237" w:customStyle="1">
    <w:name w:val="纯文本3"/>
    <w:basedOn w:val="896"/>
    <w:uiPriority w:val="0"/>
    <w:qFormat/>
    <w:rPr>
      <w:rFonts w:hint="eastAsia" w:ascii="宋体" w:hAnsi="Courier New" w:eastAsia="楷体_GB2312"/>
      <w:sz w:val="28"/>
    </w:rPr>
  </w:style>
  <w:style w:type="paragraph" w:styleId="1238" w:customStyle="1">
    <w:name w:val="WPS Plain"/>
    <w:uiPriority w:val="0"/>
    <w:qFormat/>
    <w:rPr>
      <w:rFonts w:hint="default" w:ascii="Times New Roman" w:hAnsi="Times New Roman" w:eastAsia="宋体" w:cs="Times New Roman"/>
      <w:lang w:val="en-US" w:eastAsia="zh-CN" w:bidi="ar-SA"/>
    </w:rPr>
  </w:style>
  <w:style w:type="paragraph" w:styleId="123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样式 标题 2 + Times New Roman 四号 非加粗 段前: 5 磅 段后: 0 磅 行距: 固定值 20..."/>
    <w:basedOn w:val="898"/>
    <w:uiPriority w:val="0"/>
    <w:qFormat/>
    <w:pPr>
      <w:spacing w:before="100" w:after="0" w:line="400" w:lineRule="exact"/>
    </w:pPr>
    <w:rPr>
      <w:rFonts w:ascii="Times New Roman" w:hAnsi="Times New Roman" w:eastAsia="黑体" w:cs="宋体"/>
      <w:b w:val="0"/>
      <w:bCs w:val="0"/>
      <w:sz w:val="28"/>
      <w:szCs w:val="20"/>
    </w:rPr>
  </w:style>
  <w:style w:type="paragraph" w:styleId="1242" w:customStyle="1">
    <w:name w:val="1"/>
    <w:basedOn w:val="896"/>
    <w:uiPriority w:val="0"/>
    <w:qFormat/>
    <w:rPr>
      <w:szCs w:val="24"/>
    </w:rPr>
  </w:style>
  <w:style w:type="paragraph" w:styleId="1243" w:customStyle="1">
    <w:name w:val="金安桥正文"/>
    <w:basedOn w:val="917"/>
    <w:uiPriority w:val="0"/>
    <w:qFormat/>
    <w:pPr>
      <w:ind w:left="0" w:firstLine="200"/>
      <w:jc w:val="left"/>
      <w:spacing w:after="0" w:line="300" w:lineRule="auto"/>
    </w:pPr>
    <w:rPr>
      <w:sz w:val="24"/>
      <w:szCs w:val="20"/>
    </w:rPr>
  </w:style>
  <w:style w:type="paragraph" w:styleId="1244" w:customStyle="1">
    <w:name w:val="正文 + 黑体"/>
    <w:basedOn w:val="896"/>
    <w:uiPriority w:val="0"/>
    <w:qFormat/>
    <w:pPr>
      <w:jc w:val="left"/>
    </w:pPr>
    <w:rPr>
      <w:rFonts w:ascii="黑体" w:hAnsi="宋体" w:eastAsia="黑体" w:cs="TimesNewRomanPSMT"/>
      <w:sz w:val="24"/>
      <w:szCs w:val="24"/>
    </w:rPr>
  </w:style>
  <w:style w:type="paragraph" w:styleId="1245" w:customStyle="1">
    <w:name w:val="样式2"/>
    <w:basedOn w:val="896"/>
    <w:next w:val="901"/>
    <w:uiPriority w:val="0"/>
    <w:qFormat/>
    <w:pPr>
      <w:jc w:val="center"/>
    </w:pPr>
    <w:rPr>
      <w:rFonts w:ascii="宋体" w:hAnsi="宋体" w:cs="Arial"/>
      <w:b/>
      <w:color w:val="000000"/>
      <w:szCs w:val="21"/>
    </w:rPr>
  </w:style>
  <w:style w:type="paragraph" w:styleId="1246" w:customStyle="1">
    <w:name w:val="样式 宋体"/>
    <w:basedOn w:val="896"/>
    <w:uiPriority w:val="0"/>
    <w:qFormat/>
    <w:pPr>
      <w:ind w:firstLine="100"/>
      <w:spacing w:line="360" w:lineRule="auto"/>
    </w:pPr>
    <w:rPr>
      <w:rFonts w:ascii="宋体" w:hAnsi="宋体" w:cs="宋体"/>
    </w:rPr>
  </w:style>
  <w:style w:type="paragraph" w:styleId="1247" w:customStyle="1">
    <w:name w:val="样式 样式 宋体 + 首行缩进:  1 字符"/>
    <w:basedOn w:val="1246"/>
    <w:uiPriority w:val="0"/>
    <w:qFormat/>
    <w:pPr>
      <w:spacing w:line="240" w:lineRule="auto"/>
    </w:pPr>
  </w:style>
  <w:style w:type="paragraph" w:styleId="1248"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249" w:customStyle="1">
    <w:name w:val="red"/>
    <w:basedOn w:val="896"/>
    <w:uiPriority w:val="0"/>
    <w:qFormat/>
    <w:pPr>
      <w:jc w:val="left"/>
      <w:spacing w:before="100" w:beforeAutospacing="1" w:after="100" w:afterAutospacing="1"/>
      <w:widowControl/>
    </w:pPr>
    <w:rPr>
      <w:rFonts w:ascii="宋体" w:hAnsi="宋体" w:cs="宋体"/>
      <w:szCs w:val="21"/>
    </w:rPr>
  </w:style>
  <w:style w:type="character" w:styleId="1250" w:customStyle="1">
    <w:name w:val="样式 粉红"/>
    <w:uiPriority w:val="0"/>
    <w:qFormat/>
    <w:rPr>
      <w:color w:val="auto"/>
      <w:u w:val="none"/>
    </w:rPr>
  </w:style>
  <w:style w:type="character" w:styleId="1251" w:customStyle="1">
    <w:name w:val="Char Char3"/>
    <w:uiPriority w:val="0"/>
    <w:qFormat/>
    <w:rPr>
      <w:b/>
      <w:bCs/>
      <w:sz w:val="32"/>
      <w:szCs w:val="32"/>
    </w:rPr>
  </w:style>
  <w:style w:type="character" w:styleId="1252" w:customStyle="1">
    <w:name w:val="z-窗体底端 Char"/>
    <w:link w:val="1253"/>
    <w:uiPriority w:val="0"/>
    <w:qFormat/>
    <w:rPr>
      <w:rFonts w:ascii="Arial" w:hAnsi="Arial" w:cs="Arial"/>
      <w:vanish/>
      <w:sz w:val="16"/>
      <w:szCs w:val="16"/>
    </w:rPr>
  </w:style>
  <w:style w:type="paragraph" w:styleId="1253" w:customStyle="1">
    <w:name w:val="z-窗体底端1"/>
    <w:basedOn w:val="896"/>
    <w:next w:val="896"/>
    <w:link w:val="1252"/>
    <w:uiPriority w:val="0"/>
    <w:unhideWhenUsed/>
    <w:qFormat/>
    <w:pPr>
      <w:jc w:val="center"/>
      <w:pBdr>
        <w:top w:val="single" w:color="auto" w:sz="6" w:space="1"/>
      </w:pBdr>
    </w:pPr>
    <w:rPr>
      <w:rFonts w:ascii="Arial" w:hAnsi="Arial" w:cs="Arial"/>
      <w:vanish/>
      <w:sz w:val="16"/>
      <w:szCs w:val="16"/>
    </w:rPr>
  </w:style>
  <w:style w:type="character" w:styleId="1254" w:customStyle="1">
    <w:name w:val="z-窗体顶端 Char"/>
    <w:link w:val="1255"/>
    <w:uiPriority w:val="0"/>
    <w:qFormat/>
    <w:rPr>
      <w:rFonts w:ascii="Arial" w:hAnsi="Arial" w:cs="Arial"/>
      <w:vanish/>
      <w:sz w:val="16"/>
      <w:szCs w:val="16"/>
    </w:rPr>
  </w:style>
  <w:style w:type="paragraph" w:styleId="1255" w:customStyle="1">
    <w:name w:val="z-窗体顶端1"/>
    <w:basedOn w:val="896"/>
    <w:next w:val="896"/>
    <w:link w:val="1254"/>
    <w:uiPriority w:val="0"/>
    <w:unhideWhenUsed/>
    <w:qFormat/>
    <w:pPr>
      <w:jc w:val="center"/>
      <w:pBdr>
        <w:bottom w:val="single" w:color="auto" w:sz="6" w:space="1"/>
      </w:pBdr>
    </w:pPr>
    <w:rPr>
      <w:rFonts w:ascii="Arial" w:hAnsi="Arial" w:cs="Arial"/>
      <w:vanish/>
      <w:sz w:val="16"/>
      <w:szCs w:val="16"/>
    </w:rPr>
  </w:style>
  <w:style w:type="character" w:styleId="1256" w:customStyle="1">
    <w:name w:val="Char Char5"/>
    <w:uiPriority w:val="0"/>
    <w:qFormat/>
    <w:rPr>
      <w:rFonts w:hint="eastAsia" w:ascii="黑体" w:hAnsi="黑体" w:eastAsia="黑体"/>
      <w:b/>
      <w:bCs/>
      <w:sz w:val="72"/>
      <w:szCs w:val="44"/>
      <w:lang w:val="en-US" w:eastAsia="zh-CN" w:bidi="ar-SA"/>
    </w:rPr>
  </w:style>
  <w:style w:type="character" w:styleId="1257" w:customStyle="1">
    <w:name w:val="grame"/>
    <w:uiPriority w:val="0"/>
    <w:qFormat/>
  </w:style>
  <w:style w:type="character" w:styleId="1258" w:customStyle="1">
    <w:name w:val="Char Char2"/>
    <w:uiPriority w:val="0"/>
    <w:qFormat/>
    <w:rPr>
      <w:rFonts w:hint="default" w:ascii="Arial" w:hAnsi="Arial" w:eastAsia="黑体" w:cs="Arial"/>
      <w:b/>
      <w:bCs/>
      <w:sz w:val="32"/>
      <w:szCs w:val="32"/>
      <w:lang w:val="en-US" w:eastAsia="zh-CN" w:bidi="ar-SA"/>
    </w:rPr>
  </w:style>
  <w:style w:type="character" w:styleId="1259" w:customStyle="1">
    <w:name w:val="Char Char Char"/>
    <w:uiPriority w:val="0"/>
    <w:qFormat/>
    <w:rPr>
      <w:rFonts w:hint="eastAsia" w:ascii="黑体" w:hAnsi="黑体" w:eastAsia="黑体"/>
      <w:bCs/>
      <w:sz w:val="28"/>
      <w:szCs w:val="32"/>
      <w:lang w:val="en-US" w:eastAsia="zh-CN" w:bidi="ar-SA"/>
    </w:rPr>
  </w:style>
  <w:style w:type="character" w:styleId="1260" w:customStyle="1">
    <w:name w:val="Char Char4"/>
    <w:uiPriority w:val="0"/>
    <w:qFormat/>
    <w:rPr>
      <w:rFonts w:hint="default" w:ascii="Arial" w:hAnsi="Arial" w:eastAsia="黑体" w:cs="Arial"/>
      <w:bCs/>
      <w:sz w:val="24"/>
      <w:szCs w:val="28"/>
      <w:lang w:val="en-US" w:eastAsia="zh-CN" w:bidi="ar-SA"/>
    </w:rPr>
  </w:style>
  <w:style w:type="character" w:styleId="1261" w:customStyle="1">
    <w:name w:val="font11"/>
    <w:uiPriority w:val="0"/>
    <w:qFormat/>
    <w:rPr>
      <w:rFonts w:hint="eastAsia" w:ascii="宋体" w:hAnsi="宋体" w:eastAsia="宋体" w:cs="宋体"/>
      <w:color w:val="000000"/>
      <w:sz w:val="20"/>
      <w:szCs w:val="20"/>
    </w:rPr>
  </w:style>
  <w:style w:type="character" w:styleId="1262" w:customStyle="1">
    <w:name w:val="z-窗体底端 字符"/>
    <w:basedOn w:val="906"/>
    <w:link w:val="1263"/>
    <w:uiPriority w:val="0"/>
    <w:qFormat/>
    <w:rPr>
      <w:rFonts w:ascii="Arial" w:hAnsi="Arial"/>
      <w:vanish/>
      <w:sz w:val="16"/>
      <w:szCs w:val="16"/>
    </w:rPr>
  </w:style>
  <w:style w:type="paragraph" w:styleId="1263" w:customStyle="1">
    <w:name w:val="HTML Bottom of Form"/>
    <w:basedOn w:val="896"/>
    <w:next w:val="896"/>
    <w:link w:val="1262"/>
    <w:uiPriority w:val="0"/>
    <w:qFormat/>
    <w:pPr>
      <w:jc w:val="center"/>
      <w:pBdr>
        <w:top w:val="single" w:color="auto" w:sz="6" w:space="1"/>
      </w:pBdr>
    </w:pPr>
    <w:rPr>
      <w:rFonts w:ascii="Arial" w:hAnsi="Arial"/>
      <w:vanish/>
      <w:sz w:val="16"/>
      <w:szCs w:val="16"/>
    </w:rPr>
  </w:style>
  <w:style w:type="paragraph" w:styleId="1264" w:customStyle="1">
    <w:name w:val="_Style 4"/>
    <w:basedOn w:val="896"/>
    <w:uiPriority w:val="0"/>
    <w:qFormat/>
    <w:pPr>
      <w:ind w:firstLine="420"/>
    </w:pPr>
    <w:rPr>
      <w:rFonts w:ascii="Calibri" w:hAnsi="Calibri"/>
      <w:szCs w:val="22"/>
    </w:rPr>
  </w:style>
  <w:style w:type="character" w:styleId="1265" w:customStyle="1">
    <w:name w:val="z-窗体顶端 字符"/>
    <w:basedOn w:val="906"/>
    <w:link w:val="1266"/>
    <w:uiPriority w:val="0"/>
    <w:qFormat/>
    <w:rPr>
      <w:rFonts w:ascii="Arial" w:hAnsi="Arial"/>
      <w:vanish/>
      <w:sz w:val="16"/>
      <w:szCs w:val="16"/>
    </w:rPr>
  </w:style>
  <w:style w:type="paragraph" w:styleId="1266" w:customStyle="1">
    <w:name w:val="HTML Top of Form"/>
    <w:basedOn w:val="896"/>
    <w:next w:val="896"/>
    <w:link w:val="1265"/>
    <w:uiPriority w:val="0"/>
    <w:qFormat/>
    <w:pPr>
      <w:jc w:val="center"/>
      <w:pBdr>
        <w:bottom w:val="single" w:color="auto" w:sz="6" w:space="1"/>
      </w:pBdr>
    </w:pPr>
    <w:rPr>
      <w:rFonts w:ascii="Arial" w:hAnsi="Arial"/>
      <w:vanish/>
      <w:sz w:val="16"/>
      <w:szCs w:val="16"/>
    </w:rPr>
  </w:style>
  <w:style w:type="paragraph" w:styleId="1267"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列出段落2"/>
    <w:basedOn w:val="896"/>
    <w:uiPriority w:val="0"/>
    <w:qFormat/>
    <w:pPr>
      <w:ind w:firstLine="420"/>
    </w:pPr>
    <w:rPr>
      <w:rFonts w:ascii="Calibri" w:hAnsi="Calibri"/>
      <w:szCs w:val="22"/>
    </w:rPr>
  </w:style>
  <w:style w:type="paragraph" w:styleId="1269" w:customStyle="1">
    <w:name w:val="z-窗体底端2"/>
    <w:basedOn w:val="896"/>
    <w:next w:val="896"/>
    <w:uiPriority w:val="0"/>
    <w:unhideWhenUsed/>
    <w:qFormat/>
    <w:pPr>
      <w:jc w:val="center"/>
      <w:pBdr>
        <w:top w:val="single" w:color="auto" w:sz="6" w:space="1"/>
      </w:pBdr>
    </w:pPr>
    <w:rPr>
      <w:rFonts w:ascii="Arial" w:hAnsi="Arial" w:cs="Arial"/>
      <w:vanish/>
      <w:sz w:val="16"/>
      <w:szCs w:val="16"/>
    </w:rPr>
  </w:style>
  <w:style w:type="paragraph" w:styleId="1270" w:customStyle="1">
    <w:name w:val="z-窗体顶端2"/>
    <w:basedOn w:val="896"/>
    <w:next w:val="896"/>
    <w:uiPriority w:val="0"/>
    <w:unhideWhenUsed/>
    <w:qFormat/>
    <w:pPr>
      <w:jc w:val="center"/>
      <w:pBdr>
        <w:bottom w:val="single" w:color="auto" w:sz="6" w:space="1"/>
      </w:pBdr>
    </w:pPr>
    <w:rPr>
      <w:rFonts w:ascii="Arial" w:hAnsi="Arial" w:cs="Arial"/>
      <w:vanish/>
      <w:sz w:val="16"/>
      <w:szCs w:val="16"/>
    </w:rPr>
  </w:style>
  <w:style w:type="paragraph" w:styleId="1271" w:customStyle="1">
    <w:name w:val="纯文本4"/>
    <w:basedOn w:val="896"/>
    <w:uiPriority w:val="0"/>
    <w:qFormat/>
    <w:rPr>
      <w:rFonts w:ascii="宋体" w:hAnsi="Courier New"/>
      <w:sz w:val="28"/>
      <w:szCs w:val="24"/>
    </w:rPr>
  </w:style>
  <w:style w:type="character" w:styleId="1272" w:customStyle="1">
    <w:name w:val="17"/>
    <w:basedOn w:val="906"/>
    <w:uiPriority w:val="0"/>
    <w:qFormat/>
  </w:style>
  <w:style w:type="character" w:styleId="1273" w:customStyle="1">
    <w:name w:val="纯文本 Char Char"/>
    <w:uiPriority w:val="0"/>
    <w:qFormat/>
    <w:rPr>
      <w:rFonts w:ascii="宋体" w:hAnsi="Courier New" w:eastAsia="宋体" w:cs="Courier New"/>
      <w:sz w:val="21"/>
      <w:szCs w:val="21"/>
      <w:lang w:val="en-US" w:eastAsia="zh-CN" w:bidi="ar-SA"/>
    </w:rPr>
  </w:style>
  <w:style w:type="paragraph" w:styleId="1274" w:customStyle="1">
    <w:name w:val="默认段落字体 Para Char Char Char Char Char Char Char"/>
    <w:basedOn w:val="896"/>
    <w:uiPriority w:val="0"/>
    <w:qFormat/>
    <w:rPr>
      <w:rFonts w:ascii="Tahoma" w:hAnsi="Tahoma"/>
      <w:sz w:val="24"/>
    </w:rPr>
  </w:style>
  <w:style w:type="paragraph" w:styleId="1275" w:customStyle="1">
    <w:name w:val="Char Char Char Char Char Char Char Char Char Char"/>
    <w:basedOn w:val="896"/>
    <w:uiPriority w:val="0"/>
    <w:qFormat/>
    <w:pPr>
      <w:ind w:hanging="425"/>
      <w:keepNext/>
      <w:spacing w:before="80" w:after="80"/>
      <w:widowControl/>
      <w:tabs>
        <w:tab w:val="left" w:pos="425" w:leader="none"/>
      </w:tabs>
    </w:pPr>
    <w:rPr>
      <w:sz w:val="20"/>
    </w:rPr>
  </w:style>
  <w:style w:type="character" w:styleId="1276" w:customStyle="1">
    <w:name w:val="Char Char"/>
    <w:uiPriority w:val="0"/>
    <w:qFormat/>
    <w:rPr>
      <w:rFonts w:eastAsia="黑体"/>
      <w:bCs/>
      <w:sz w:val="28"/>
      <w:szCs w:val="32"/>
      <w:lang w:val="en-US" w:eastAsia="zh-CN" w:bidi="ar-SA"/>
    </w:rPr>
  </w:style>
  <w:style w:type="character" w:styleId="1277" w:customStyle="1">
    <w:name w:val="Char Char1"/>
    <w:uiPriority w:val="0"/>
    <w:qFormat/>
    <w:rPr>
      <w:rFonts w:ascii="Arial" w:hAnsi="Arial" w:eastAsia="黑体"/>
      <w:b/>
      <w:bCs/>
      <w:sz w:val="32"/>
      <w:szCs w:val="32"/>
      <w:lang w:val="en-US" w:eastAsia="zh-CN" w:bidi="ar-SA"/>
    </w:rPr>
  </w:style>
  <w:style w:type="paragraph" w:styleId="1278" w:customStyle="1">
    <w:name w:val="font8"/>
    <w:basedOn w:val="896"/>
    <w:uiPriority w:val="0"/>
    <w:qFormat/>
    <w:pPr>
      <w:jc w:val="left"/>
      <w:spacing w:before="100" w:beforeAutospacing="1" w:after="100" w:afterAutospacing="1"/>
      <w:widowControl/>
    </w:pPr>
    <w:rPr>
      <w:color w:val="000000"/>
      <w:szCs w:val="21"/>
    </w:rPr>
  </w:style>
  <w:style w:type="paragraph" w:styleId="1279" w:customStyle="1">
    <w:name w:val="font9"/>
    <w:basedOn w:val="896"/>
    <w:uiPriority w:val="0"/>
    <w:qFormat/>
    <w:pPr>
      <w:jc w:val="left"/>
      <w:spacing w:before="100" w:beforeAutospacing="1" w:after="100" w:afterAutospacing="1"/>
      <w:widowControl/>
    </w:pPr>
    <w:rPr>
      <w:color w:val="000000"/>
      <w:sz w:val="20"/>
    </w:rPr>
  </w:style>
  <w:style w:type="paragraph" w:styleId="1280" w:customStyle="1">
    <w:name w:val="xl63"/>
    <w:basedOn w:val="896"/>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right w:val="single" w:color="auto" w:sz="8" w:space="0"/>
      </w:pBdr>
    </w:pPr>
    <w:rPr>
      <w:rFonts w:ascii="宋体" w:hAnsi="宋体" w:cs="宋体"/>
      <w:color w:val="000000"/>
      <w:sz w:val="20"/>
    </w:rPr>
  </w:style>
  <w:style w:type="paragraph" w:styleId="1281" w:customStyle="1">
    <w:name w:val="xl64"/>
    <w:basedOn w:val="896"/>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0"/>
    </w:rPr>
  </w:style>
  <w:style w:type="paragraph" w:styleId="1282" w:customStyle="1">
    <w:name w:val="xl65"/>
    <w:basedOn w:val="896"/>
    <w:uiPriority w:val="0"/>
    <w:qFormat/>
    <w:pPr>
      <w:jc w:val="left"/>
      <w:spacing w:before="100" w:beforeAutospacing="1" w:after="100" w:afterAutospacing="1"/>
      <w:shd w:val="clear" w:color="000000" w:fill="ffffff"/>
      <w:widowControl/>
      <w:pBdr>
        <w:right w:val="single" w:color="auto" w:sz="8" w:space="0"/>
      </w:pBdr>
    </w:pPr>
    <w:rPr>
      <w:rFonts w:ascii="宋体" w:hAnsi="宋体" w:cs="宋体"/>
      <w:color w:val="000000"/>
      <w:sz w:val="20"/>
    </w:rPr>
  </w:style>
  <w:style w:type="paragraph" w:styleId="1283" w:customStyle="1">
    <w:name w:val="xl66"/>
    <w:basedOn w:val="896"/>
    <w:uiPriority w:val="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84" w:customStyle="1">
    <w:name w:val="xl67"/>
    <w:basedOn w:val="89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0"/>
    </w:rPr>
  </w:style>
  <w:style w:type="paragraph" w:styleId="1285" w:customStyle="1">
    <w:name w:val="xl68"/>
    <w:basedOn w:val="896"/>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86" w:customStyle="1">
    <w:name w:val="xl69"/>
    <w:basedOn w:val="896"/>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30"/>
      <w:szCs w:val="30"/>
    </w:rPr>
  </w:style>
  <w:style w:type="paragraph" w:styleId="1287" w:customStyle="1">
    <w:name w:val="xl70"/>
    <w:basedOn w:val="896"/>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8"/>
      <w:szCs w:val="28"/>
    </w:rPr>
  </w:style>
  <w:style w:type="paragraph" w:styleId="1288" w:customStyle="1">
    <w:name w:val="xl71"/>
    <w:basedOn w:val="896"/>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0"/>
    </w:rPr>
  </w:style>
  <w:style w:type="paragraph" w:styleId="1289" w:customStyle="1">
    <w:name w:val="xl72"/>
    <w:basedOn w:val="896"/>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0"/>
    </w:rPr>
  </w:style>
  <w:style w:type="paragraph" w:styleId="1290" w:customStyle="1">
    <w:name w:val="xl73"/>
    <w:basedOn w:val="896"/>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30"/>
      <w:szCs w:val="30"/>
    </w:rPr>
  </w:style>
  <w:style w:type="paragraph" w:styleId="1291" w:customStyle="1">
    <w:name w:val="xl74"/>
    <w:basedOn w:val="896"/>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30"/>
      <w:szCs w:val="30"/>
    </w:rPr>
  </w:style>
  <w:style w:type="paragraph" w:styleId="1292" w:customStyle="1">
    <w:name w:val="xl75"/>
    <w:basedOn w:val="89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30"/>
      <w:szCs w:val="30"/>
    </w:rPr>
  </w:style>
  <w:style w:type="paragraph" w:styleId="1293" w:customStyle="1">
    <w:name w:val="xl76"/>
    <w:basedOn w:val="896"/>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8"/>
      <w:szCs w:val="28"/>
    </w:rPr>
  </w:style>
  <w:style w:type="paragraph" w:styleId="1294" w:customStyle="1">
    <w:name w:val="xl77"/>
    <w:basedOn w:val="89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8"/>
      <w:szCs w:val="28"/>
    </w:rPr>
  </w:style>
  <w:style w:type="paragraph" w:styleId="1295" w:customStyle="1">
    <w:name w:val="xl78"/>
    <w:basedOn w:val="896"/>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 w:val="20"/>
    </w:rPr>
  </w:style>
  <w:style w:type="paragraph" w:styleId="1296" w:customStyle="1">
    <w:name w:val="xl79"/>
    <w:basedOn w:val="89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20"/>
    </w:rPr>
  </w:style>
  <w:style w:type="paragraph" w:styleId="1297" w:customStyle="1">
    <w:name w:val="xl80"/>
    <w:basedOn w:val="896"/>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8"/>
      <w:szCs w:val="28"/>
    </w:rPr>
  </w:style>
  <w:style w:type="paragraph" w:styleId="1298" w:customStyle="1">
    <w:name w:val="xl81"/>
    <w:basedOn w:val="896"/>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4"/>
      <w:szCs w:val="24"/>
    </w:rPr>
  </w:style>
  <w:style w:type="paragraph" w:styleId="1299" w:customStyle="1">
    <w:name w:val="xl82"/>
    <w:basedOn w:val="896"/>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4"/>
      <w:szCs w:val="24"/>
    </w:rPr>
  </w:style>
  <w:style w:type="paragraph" w:styleId="1300" w:customStyle="1">
    <w:name w:val="xl83"/>
    <w:basedOn w:val="896"/>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color w:val="000000"/>
      <w:sz w:val="24"/>
      <w:szCs w:val="24"/>
    </w:rPr>
  </w:style>
  <w:style w:type="paragraph" w:styleId="1301" w:customStyle="1">
    <w:name w:val="xl84"/>
    <w:basedOn w:val="896"/>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302" w:customStyle="1">
    <w:name w:val="xl85"/>
    <w:basedOn w:val="896"/>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1303" w:customStyle="1">
    <w:name w:val="xl86"/>
    <w:basedOn w:val="896"/>
    <w:uiPriority w:val="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304" w:customStyle="1">
    <w:name w:val="xl87"/>
    <w:basedOn w:val="896"/>
    <w:uiPriority w:val="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character" w:styleId="1305" w:customStyle="1">
    <w:name w:val="未处理的提及1"/>
    <w:basedOn w:val="906"/>
    <w:uiPriority w:val="99"/>
    <w:semiHidden/>
    <w:unhideWhenUsed/>
    <w:qFormat/>
    <w:rPr>
      <w:color w:val="605e5c"/>
      <w:shd w:val="clear" w:color="auto" w:fill="e1dfdd"/>
    </w:rPr>
  </w:style>
  <w:style w:type="paragraph" w:styleId="1306" w:customStyle="1">
    <w:name w:val="正文缩进11"/>
    <w:next w:val="896"/>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character" w:styleId="1307" w:customStyle="1">
    <w:name w:val="font21"/>
    <w:basedOn w:val="906"/>
    <w:uiPriority w:val="0"/>
    <w:qFormat/>
    <w:rPr>
      <w:rFonts w:ascii="宋体" w:hAnsi="宋体" w:eastAsia="宋体" w:cs="宋体"/>
      <w:b/>
      <w:bCs/>
      <w:color w:val="000000"/>
      <w:sz w:val="36"/>
      <w:szCs w:val="36"/>
      <w:u w:val="none"/>
    </w:rPr>
  </w:style>
  <w:style w:type="character" w:styleId="1308" w:customStyle="1">
    <w:name w:val="font51"/>
    <w:basedOn w:val="906"/>
    <w:uiPriority w:val="0"/>
    <w:qFormat/>
    <w:rPr>
      <w:rFonts w:ascii="宋体" w:hAnsi="宋体" w:eastAsia="宋体" w:cs="宋体"/>
      <w:color w:val="000000"/>
      <w:sz w:val="36"/>
      <w:szCs w:val="36"/>
      <w:u w:val="none"/>
    </w:rPr>
  </w:style>
  <w:style w:type="character" w:styleId="1309" w:customStyle="1">
    <w:name w:val="font61"/>
    <w:basedOn w:val="906"/>
    <w:uiPriority w:val="0"/>
    <w:qFormat/>
    <w:rPr>
      <w:rFonts w:hint="eastAsia" w:ascii="宋体" w:hAnsi="宋体" w:eastAsia="宋体" w:cs="宋体"/>
      <w:color w:val="000000"/>
      <w:sz w:val="36"/>
      <w:szCs w:val="36"/>
      <w:u w:val="none"/>
    </w:rPr>
  </w:style>
  <w:style w:type="character" w:styleId="1310" w:customStyle="1">
    <w:name w:val="font112"/>
    <w:basedOn w:val="906"/>
    <w:uiPriority w:val="0"/>
    <w:qFormat/>
    <w:rPr>
      <w:rFonts w:hint="eastAsia" w:ascii="宋体" w:hAnsi="宋体" w:eastAsia="宋体" w:cs="宋体"/>
      <w:color w:val="000000"/>
      <w:sz w:val="36"/>
      <w:szCs w:val="36"/>
      <w:u w:val="none"/>
      <w:vertAlign w:val="superscript"/>
    </w:rPr>
  </w:style>
  <w:style w:type="character" w:styleId="1311" w:customStyle="1">
    <w:name w:val="font121"/>
    <w:basedOn w:val="906"/>
    <w:uiPriority w:val="0"/>
    <w:qFormat/>
    <w:rPr>
      <w:rFonts w:ascii="Calibri" w:hAnsi="Calibri" w:cs="Calibri"/>
      <w:color w:val="000000"/>
      <w:sz w:val="36"/>
      <w:szCs w:val="36"/>
      <w:u w:val="none"/>
    </w:rPr>
  </w:style>
  <w:style w:type="character" w:styleId="1312" w:customStyle="1">
    <w:name w:val="font131"/>
    <w:basedOn w:val="906"/>
    <w:uiPriority w:val="0"/>
    <w:qFormat/>
    <w:rPr>
      <w:rFonts w:hint="default" w:ascii="Calibri" w:hAnsi="Calibri" w:cs="Calibri"/>
      <w:color w:val="000000"/>
      <w:sz w:val="36"/>
      <w:szCs w:val="36"/>
      <w:u w:val="none"/>
    </w:rPr>
  </w:style>
  <w:style w:type="paragraph" w:styleId="131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4" w:customStyle="1">
    <w:name w:val="Heading 3"/>
    <w:basedOn w:val="1315"/>
    <w:next w:val="1315"/>
    <w:uiPriority w:val="0"/>
    <w:qFormat/>
    <w:pPr>
      <w:jc w:val="both"/>
      <w:keepLines/>
      <w:keepNext/>
      <w:spacing w:before="260" w:after="260" w:line="413" w:lineRule="auto"/>
      <w:widowControl w:val="off"/>
      <w:outlineLvl w:val="2"/>
    </w:pPr>
    <w:rPr>
      <w:b/>
      <w:sz w:val="32"/>
    </w:rPr>
  </w:style>
  <w:style w:type="paragraph" w:styleId="1315" w:customStyle="1">
    <w:name w:val="正文11"/>
    <w:uiPriority w:val="0"/>
    <w:qFormat/>
    <w:rPr>
      <w:rFonts w:hint="default" w:ascii="Times New Roman" w:hAnsi="Times New Roman" w:eastAsia="宋体" w:cs="Times New Roman"/>
      <w:sz w:val="20"/>
      <w:szCs w:val="20"/>
      <w:lang w:val="en-US" w:eastAsia="zh-CN" w:bidi="ar-SA"/>
    </w:rPr>
  </w:style>
  <w:style w:type="paragraph" w:styleId="1316"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17" w:customStyle="1">
    <w:name w:val="font01"/>
    <w:basedOn w:val="906"/>
    <w:uiPriority w:val="0"/>
    <w:qFormat/>
    <w:rPr>
      <w:rFonts w:hint="eastAsia" w:ascii="宋体" w:hAnsi="宋体" w:eastAsia="宋体" w:cs="宋体"/>
      <w:color w:val="000000"/>
      <w:sz w:val="22"/>
      <w:szCs w:val="22"/>
      <w:u w:val="none"/>
    </w:rPr>
  </w:style>
  <w:style w:type="character" w:styleId="1318" w:customStyle="1">
    <w:name w:val="标题 4 Char"/>
    <w:link w:val="900"/>
    <w:uiPriority w:val="99"/>
    <w:qFormat/>
    <w:rPr>
      <w:rFonts w:ascii="Arial" w:hAnsi="Arial" w:eastAsia="宋体"/>
      <w:b/>
      <w:bCs/>
      <w:sz w:val="21"/>
      <w:szCs w:val="28"/>
      <w:lang w:val="en-US" w:eastAsia="zh-CN" w:bidi="ar-SA"/>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6AD9885-DA6A-4A30-89A3-897B48595A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adm</dc:creator>
  <cp:lastModifiedBy>杨玉佳</cp:lastModifiedBy>
  <cp:revision>24</cp:revision>
  <dcterms:created xsi:type="dcterms:W3CDTF">2025-03-06T06:55:00Z</dcterms:created>
  <dcterms:modified xsi:type="dcterms:W3CDTF">2025-12-09T01:54:59Z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eyJoZGlkIjoiZTlkNDdjNDk0ZDliNTI0NjJhMmRkNjk4YTZhNDQ0MzIiLCJ1c2VySWQiOiI0MTY0NjE5MzgifQ==</vt:lpwstr>
  </property>
  <property fmtid="{D5CDD505-2E9C-101B-9397-08002B2CF9AE}" pid="3" name="KSOProductBuildVer">
    <vt:lpwstr>2052-12.1.0.24034</vt:lpwstr>
  </property>
  <property fmtid="{D5CDD505-2E9C-101B-9397-08002B2CF9AE}" pid="4" name="ICV">
    <vt:lpwstr>44912AF7367F454D8463B64ECABD580D_13</vt:lpwstr>
  </property>
</Properties>
</file>